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775/1985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el Tribunal Constitucional acuerda levantar la suspensión de la vigencia y aplicación de los arts.  87 y 96.4 de la Ley del Parlamento de Andalucía 2/1985, de 2 de mayo, de Sociedades Cooperativas Andaluzas.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de fecha 5 de agosto de 1985, interpuso recurso de inconstitucionalidad contra los arts. 87 y 96.4 de la Ley del Parlamento de Andalucía 2/1985, de 2 de mayo, de Sociedades Cooperativas Andaluzas, invocando el art. 161.2 de la Constitución Española (C.E.) a efectos 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de Vacaciones, por providencia de 7 de agosto de 1985, acordó admitir a trámite el recurso de inconstitucionalidad planteado, y habiéndose invocado por el Presidente del Gobierno el art. 161.2 de la C.E., comunicar a los Presidentes del Parlamento y de la Junta de Andalucía la suspensión de la vigencia y aplicación de los preceptos impugnados de la Ley del Parlamento de Andalucía 2/1985, de 2 de mayo, desde el 7 de agosto, fecha de la formalización del recurso, así como publicar tal formalización y la suspensión acordada en el «Boletín Oficial del Estado» y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Parlamento de Andalucía y el Letrado representante del Consejo de Gobierno de Andalucía presentaron los respectivos escritos de personación y alegaciones. El Presidente del Senado pidió que se tuviese por personado a esa Cámara y por ofrecida su colaboración a los efectos del art. 88.1 de la LOTC. El Presidente del Congreso de los Diputados comunicó que la Cámara no haría uso de sus facultades de personación y alegaciones. El recurso se halla pendiente de señalamiento para deliberación y votación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Próximo a finalizar el plazo de cinco meses señalado en el art. 161.2 de la C.E., la Sección Segunda del T.C., por providencia de 18 de diciembre de 1985, acordó oír a las partes para que, en el plazo común de cinco días, expusiesen lo que estimasen procedente acerca del mantenimiento o levantamiento de la suspensión de los preceptos impugnados en este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Estado, en su escrito de 3 de enero de 1986, solicitó el mantenimiento de la suspensión, alegando que, en el caso de ser levantada, se generarían legítimamente con arreglo a los preceptos impugnados operaciones activas con terceros (art. 87) y una calificación a efectos de Seguridad Social de los socios trabajadores de las Cooperativas de Explotación Comunitaria de la Tierra (art. 96.4) que, en la hipótesis de una Sentencia estimatoria del recurso, resultarían difícilmente eliminables, consumándose con ello la distorsión del orden competencial y quedando así eliminada la opción atribuida a los socios trabajadores de las Cooperativas de Explotación Comunitaria por el art. 48.4 de la Ley 52/1974; mientras que, frente a ello, la entrada en vigor de las disposiciones impugnadas, caso de declararse por Sentencia su validez, no ofrecería dificultad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del Parlamento de Andalucía, por escrito de 2 de enero de 1986, pidió el levantamiento de la suspensión, alegando que el mismo no frustraría la finalidad del recurso caso de prosperar éste y que no existen razones de trascendencia ni de incidencia en el interés público nacional que pudieran justificar el mantenimiento de la suspensión, así como que, de alzarse la misma, no se originarían situaciones que pudieran comprometer los efectos de una Sentencia hipotéticamente estimatoria de algún punto del recurso, siendo prácticamente inexistentes los perjuicios que pudieran derivarse del alzamiento.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representante del Consejo de Gobierno de Andalucía, por escrito de 7 de enero de 1986, pidió el levantamiento de la suspensión, pues el retraso en la aplicación del art. 87 de la Ley 2/1985 del Parlamento de Andalucía determinaría un grave quebranto para las cooperativas afectadas, mientras que la continuación de la suspensión del art. 96.4 impediría la entrada en funcionamiento de las cooperativas de explotación comunitaria de la tierra.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161.2 de la C.E. establece que la impugnación por el Gobierno ante el T.C.  de las disposiciones y resoluciones de las Comunidades Autónomas produciría la suspensión de la disposición o resolución recurrida, pero el T.C., en su caso, deberá ratificarla o levantarla en un plazo no superior a cinco meses. Se hace necesario, por lo tanto, que el T.C.  decida en el presente recurso de inconstitucionalidad el mantenimiento o el levantamiento de la suspensión, cuestión sobre la que se acordó oír previamente a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razones expuestas en su escrito por el Letrado del Estado, relativas a la difícil invalidación de los efectos de la entrada en vigor de los preceptos impugnados en el caso de que este T.C. apreciase una «distorsión del orden competencial» producida por tales preceptos, no son suficientes para fundar el mantenimiento de la suspensión. Pues no se alega ni se advierte que la aplicación de los arts. 87 y 96.4 de la Ley del Parlamento de Andalucía 2/1985 pudiera producir graves perjuicios de imposible o difícil reparación ni tampoco siquiera el que de dicha aplicación pudiera resultar perjuicio alguno.  Y son, por otra parte, de tener en cuenta tanto la alegación del Presidente del Parlamento de Andalucía acerca de que la suspensión no frustraría la finalidad del recurso en el caso de que llegara a ser estimado como la referencia efectuada en representación del Consejo de Gobierno de Andalucía a perjuicios, incluso graves, que pudieran derivar del mantenimiento de la suspensión. Por todo lo cual, siendo esta última -como este T.C. ha declarado en otras ocasiones- una situación provisional y limitativa de la eficacia de una norma cuya prolongación debe ser expresa y precisamente justificada, debe decidirse su levantamiento en el caso presente, y así se acuerda.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el Tribunal Constitucional acuerda levantar la suspensión de la vigencia y aplicación de los arts.  87 y 96.4 de la Ley del Parlamento de Andalucía 2/1985, de 2 de mayo, de Sociedades Cooperativas Andaluzas.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las partes y publíquese en el «Boletín Oficial del Estado» y en el «Boletín Oficial de la Junta de Andalucía».</w:t>
      </w:r>
    </w:p>
    <w:p w:rsidRPr="" w:rsidR="00AD51A7" w:rsidRDefault="00AD51A7">
      <w:pPr>
        <w:rPr/>
      </w:pPr>
      <w:r w:rsidRPr="&lt;w:rPr xmlns:w=&quot;http://schemas.openxmlformats.org/wordprocessingml/2006/main&quot;&gt;&lt;w:szCs w:val=&quot;24&quot; /&gt;&lt;/w:rPr&gt;">
        <w:rPr/>
        <w:t xml:space="preserve">Madrid, a veintitrés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