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18 de noviembre de 1987, doña María Luz Albácar Medina, Procuradora de los Tribunales y de don Enrique Chaler Proñonosa y don Vicente Albiol Albiol, interpone recurso de amparo contra la Sentencia de la Audiencia Provincial de Castellón de 14 de julio de 1984, condenatoria de los recurrentes por un delito de apropiación indebida y contra dos Sentencias de la Sala Segunda del Tribunal Supremo, ambas de 20 de octubre de 1987, por las que, respectivamente, se anula parcialmente la resolución judicial anterior en lo referente a la cuantía de las indemnizaciones, confirmándola en todo lo demás, y se establecen nuevas cuantías.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querella de determinados perjudicados, se instruyó un sumario contra los ahora recurrentes en amparo por el Juzgado de Instrucción de Vinaroz, recayendo Sentencia condenatoria de la Audiencia Provincial de Castellón con fecha 14 de julio de 1984 por un delito de apropiación indebida de 1.215.000 pesetas, previsto en el art. 535 del Código Penal en relación con el párrafo segundo del art. 528, fijando unas indeminzaciones que los recurrentes debían satisfacer de forma conjunta y solidaria.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Audiencia consideró probados los hechos siguientes: que la Hermandad Sindical de Labradores y Ganaderos de Peñíscola solicitó, y le fue aprobado por el Instituto Nacional de la Vivienda, la construcción de unas viviendas de protección oficial en dicha localidad, recibiendo una subvención y un préstamo para ello; que en ejecución de esa autorización se creó en 1971 una Comisión Mixta de Viviendas en el seno de aquella Hermandad de la que el señor Chaler era Secretario y el señor Albiol, Presidente, «los cuales de consuno adoptaron lo pertinente para la marcha de la promoción, si bien con la asistencia a las Juntas correspondientes de los diferentes Vocales que prácticamente no quedaban enterados de forma eficaz de los acuerdos que se tomaban»; que el 6 de agosto de 1975 se hizo saber a los que querían acceder a los inmuebles que para poder participar en el sorteo de asignación de viviendas, pues eran muchos más los solicitantes que las viviendas subvencionadas, debían desembolsar antes del día 31 de ese mismo mes la cantidad de 230.000 pesetas, lo que efectivamente hicieron distintos peticionarios, todo ello sin perjuicio de las cantidades que algunos venían abonando desde antes; que, sin embargo, cuando efectivamente se procedió al sorteo ante Notario el 2 de abril de 1977, en la lista para el mismo no figuraban algunos de los peticionarios que ya habían desembolsado lo solicitado, por lo que impugnaron el sorteo y presentaron una querella; que las sumas entregadas por éstos no les fueron en ningún momento devueltas ni, por supuesto, consiguieron una vivienda, quedando aquélla en beneficio de los procesados. No obstante, la Audiencia reconoce que mucho más tarde, el 14 de febrero de 1978, los recurrentes comunicaron al antes mencionado Juzgado de Instrucción que los perjudicados tenían a su disposición las cantidades entregadas en un determinado Banco, pero que lo cierto era que no salieron del patrimonio de la Comisión Mixta.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Recurrida esta resolución en casación, recayó Sentencia de la Sala Segunda del Tribunal Supremo de 20 de octubre de 1987, por la que se estimaba parcialmente el recurso en cuanto se refiere al cálculo de las indemnizaciones correspondientes para la responsabilidad civil nacida del delito, confirmando la Sentencia anterior en todo lo demás. Según el Alto Tribunal, como en la Sentencia recurrida no se fija con exactitud la fecha de la apropiación indebida del dinero que genera la responsabilidad derivada, el cómputo de las indemnizaciones debía hacerse desde la fecha de la presentación de la querella o denuncia, es decir, el 15 de abril de 1977, y no desde las distintas fechas en que se realizaron las diversas entregas de dinero. Finalmente, por Sentencia del mismo día y Sala sentenciadora se cuantificaron y fijaron con exactitud las indemnizaciones a pagar a los perjudicados por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piden que se otorgue el amparo y se declare la nulidad de las mencionadas Sentencias condenatorias de las Audiencias Provincial de Castellón y de la Sala Segunda del Tribunal Supremo. Por otrosí, se pide la suspensión de la ejecución de las Sentencias del Tribunal Supremo en lo que hace referencia a la pena de privación de libertad «y en orden a las responsabilidades civiles, a los importes que excedan de la suma de aquellas aportaciones originarias, siempre tenidas a disposición de repetidos querellantes y cuya falta de recibo sólo puede atribuirse a su mora accipiendi».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principal de esta pretensión se encuentra en una supuesta violación del art. 24.2 de la Constitución en su vertiente de principio acusatorio, ya que en la querella que inicia el proceso se denuncia un delito de estafa, por lo que el juicio se centró sobre si se habían recaudado o no fondos mediante engaño, ignorándose, por tanto, la pronta oferta de devolución de los mismos hechos por los recurrentes. Además, llegado el trámite de calificación ante la Audiencia, el Ministerio Fiscal no formuló acusación alguna contra los querellados por entender que los hechos no eran constitutivos de delito. Por consiguiente, la Audiencia ignoró el limitado alcance de la acusación al condenarles por apropiación indebida, mudándose de este modo el «hecho acusatorio», mutación que les dificulta o impide su defensa, vulnerando la cláusula prohibitoria de indefensión del art. 24.2 de la Constitución y el derecho al empleo de los medios de prueba pertinentes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diciembre de 1987, la Sección Tercera del Tribunal Constitucional acordó conceder a los recurrentes y al Ministerio Fiscal un plazo común de diez días, para que formularan las alegaciones que consideraran pertinentes respecto de la posible concurrencia de los siguientes motivos de inadmisión: a) de carácter subsanable: no acompañar copia de la Sentencia de la Audiencia Provincial de Castellón de fecha 14 de julio de 1984 [arts. 49.2 b) y 50.1 b) de la LOTC]; b) de carácter insubsanable; carecer la demanda de relevancia constitucional [art. 50.2 b) LOTC]; acordándose resolver la suspensión solicitada después de que se decidiera sobre la admisión o no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28 de diciembre de 1987, considera que concurren las causas de inadmisión puestas de manifiesto en la citada providencia e interesa la inadmisión del recurso. Es patente que no se acompaña copia de la Sentencia dictada por la Audiencia [arts. 49.2 b) y 50.1 b) LOTC] y que la demanda carece de contenido constitucional [art. 50.2 b) LOTC], porque del derecho a ser informado de la acusación (art. 24.2) a los efectos de defensa no se desprende que unos mismos hechos controvertidos no puedan dar lugar a una distinta calificación jurídica en la Sentencia que la recibieron en la acusación (STC 12/1981 ). Tampoco existe una transgresión del derecho a la tutela judicial efectiva (art. 24.1 ), derivado del cambio de criterio mantenido por el Tribunal Supremo respecto al dies a quo para el cómputo de las indemnizaciones, porque se trata de una cuestión de estricta legalidad sin relevancia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22 de diciembre de 1987, los recurrentes solicitan la admisión a trámite del recurso, acompañando copia de la Sentencia discutida de la Audiencia Provincial de Castellón, subsanando su omisión. Insisten en sus alegaciones sobre el principio acusatorio y cómo el cambio de calificación jurídica efectuado les produce además indefensión, al circunscribirse el debate procesal a la existencia de estafa nacida de un supuesto de engaño, y apartarse la Sentencia de la Audiencia de ese debate.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Con arreglo a la reiterada doctrina de este Tribunal, el principio acusatorio forma parte de las garantías sustanciales del proceso penal incluidas en el art. 24.2 de la Constitución y tiene por finalidad hacer efectivo el derecho a la defensa del imputado. Pero dicho principio no impone una vinculación estricta del juzgador a las calificaciones jurídicas de la acusación, sino sólo que el hecho punible objeto del fallo sea el mismo sobre el que se ha sostenido la acusación, puesto que el objeto del proceso no es un crimen, sino un factium. Por ello, siempre que se respete la imprescindible inalterabilidad o identidad del hecho punible, tal y como fue planteado en la acusación, no puede negarse al juzgador la facultad de calificación jurídica de los hechos, bastando con que dicha calificación se mantenga en el terreno de unos delitos generalmente homogéneos.  En el caso de autos, la Sentencia de la Audiencia no ha alterado la imprescindible identidad de los hechos, ya que no puede sostenerse que entre las calificaciones de estafa y apropiación indebida no exista una conexión suficiente, por lo que las exigencias del principio acusatorio han quedado satisfechas.  De otro lado, no cabe imputar indefensión alguna a la Sentencia del Tribunal Supremo por el hecho de que haya sostenido un criterio distinto acerca de la fijación del momento en que debe comenzar a computarse el devengo de las correspondientes indemnizaciones, divergencia que, además de ser lícita y congruente con la función revisora del alto Tribunal, carece de relieve constitucional y no puede ser enjuiciado por este Tribunal.  Concurre, en consecuencia,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