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haber lugar a la rectificación de errores materiales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abril de 1998 tuvo entrada en el registro de este Tribunal un escrito de la Procuradora doña María Gracia Garrido Entrena, en nombre y representación don Antonio Guerreiro de Castillo-Elejabeytia, por el que se solicita que se rectifique un error material en el que, a su juicio, incurre la Sentencia, de 30 de marzo de 1998, recaída en el recurso de amparo núm. 1.927/95. La Sentencia fue notificada a la representación procesal del recurrente el 6 de abril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alega en este escrito, la Sentencia incurre en un manifiesto error material al aceptar la alegación del Abogado del Estado y considerar que la Sentencia recurrida en amparo no causó perjuicio alguno al demandante cuando, en su opinión, sí que existió este perjuicio, por lo que al amparo de lo previsto en el art. 267.2 L.O.P.J. solicita que se rectifique este error y se modifique el fallo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LOTC establece que en el plazo de dos días, a contar desde la notificación, las partes podrán solicitar la aclaración de la Sentencia. Según ha señalado el ATC 25/1990 el alcance de esta aclaración no puede ir más allá de «aclarar cualquier concepto oscuro o suplir cualquier omisión» (art. 363 L.E.C.)  o de rectificar errores materiales manifiestos y los aritméticos contenidos en la Sentencia (art. 267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el demandante de amparo plantea en vía de aclaración una cuestión que excede del contenido de este trámite. Bajo la invocación de un error material lo que realmente está solicitando el recurrente es una modificación de la fundamentación de la Sentencia y del fallo de la misma. La determinación de la existencia o inexistencia de perjuicio fue objeto de análisis en la Sentencia; cuestión además sobre la que específicamente se otorgó audiencia al recurrente, ya que por providencia, de 19 de febrero de 1998, se le dio traslado de las alegaciones del Abogado del Estado para que a la vista de las mismas manifestase lo que estimase pertinente.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haber lugar a la rectificación de errores materiales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