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 por el tiempo de la condena impuesta a don Hector Millán Callabed.</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febrero de 2001 don Francisco Velasco Muñoz Cuellar, Procurador de los Tribunales y de don Hector Millán Callabed, interpuso recurso de amparo contra la Sentencia de 26 de diciembre de 2000 de la Audiencia Provincial de Zaragoza, Sección Tercera, que resuelve recurso de apelación contra la dictada por el Juez de lo penal núm. 4 de Zaragoza en el procedimiento abreviado 112-2000, seguido por delito contra la propiedad intelectual.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absuelto, junto con otros dos coprocesados, del delito contra la propiedad intelectual del que era acusado por Sentencia del Juez de lo penal núm. 4 de los de Zaragoza, de fecha 24 de julio de 2000. Esta Sentencia estimó que no existía suficiente prueba de cargo que acreditase quién de los acusados poseía programas informáticos ilegalmente duplicados en su domicilio. b) b) Contra la anterior resolución se interpuso recurso de apelación por la acusación particular, recurso al que se adhirió el Ministerio Público, y que fue estimado por la Sentencia de 26 de diciembre de 2000, dictada por la Sección Tercera de la Audiencia Provincial de Zaragoza, que revoca la de instancia, modifica los hechos declarados probados por aquella y condena al recurrente y a los otros dos acusados, como autores de un delito contra la propiedad intelectual del art. 270.1 CP, a la pena de seis meses de prisión, inhabilitación especial para el derecho de sufragio pasivo durante el tiempo de la condena y costas, así como a indemnizar conjunta y solidariamente a las empresas perjudicadas en la cantidad de 54.550.006 pesetas más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los derechos del recurrente a la tutela judicial efectiva (art. 24.1 CE), a un proceso con todas las garantías (art. 24.2 CE) y a la presunción de inocencia (art. 24.2 CE), así como el principio de legalidad (art. 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el demandante solicita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julio de 2002 la Sala Segunda de este Tribunal acordó la admisión a trámite de la demanda, así como, a tenor de lo establecido en el artículo 51 LOTC, comunicar a los órganos judiciales la admisión del presente recurso de amparo (dado que la remisión del testimonio de las actuaciones ya había sido solicitada en el recurso de amparo núm 446-2001) y solicitar al Juzgado de lo penal núm. 4 de Zaragoza que emplazara a quienes fueron parte en el procedimiento, a excepción del demandante de amparo, para que pudieran comparecer en el recurso de amparo si tal fuese su deseo.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artículo 56 LOTC, conceder un plazo común de tres días al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29 de julio de 2002 tuvo entrada en el Registro General de este Tribunal el escrito de alegaciones del Ministerio Público. En dicho escrito, tras un breve relato de los antecedentes procesales, se sostiene la conveniencia de acceder a la suspensión interesada con respecto al cumplimiento de la pena privativa de libertad y de la accesoria. Entiende el Fiscal, sobre la base de la doctrina constitucional, que la ejecución de la pena privativa de libertad de seis meses de prisión podría generar perjuicios irreparables para el demandante. Sin embargo, en relación con el abono de las costas y de la responsabilidad civil, al tratarse de sanciones de contenido económico y no acreditarse en la demanda de amparo la irreparabilidad del perjuicio, considera el Ministerio Público que no procede en el momento actual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julio de 2002 se registró en este Tribunal el escrito de alegaciones del demandante de amparo, en el que se reitera la solicitud de suspensión de la ejecución, tanto de la pena privativa de libertad como de las costas y la responsabilidad civil impuestas por la Sentencia recurrida, por entender que en todos los casos el perjuicio que podría producirse es irreparable. En relación con los pronunciamientos de contenido económico señala que, para hacer frente a los mismos, se podría subastar un bien inmueble, cuya recuperación sería imposible con posterioridad.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dicha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(seis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y que se trata de un condenado que delinquía por primera vez), no se aprecia que acceder a la suspensión solicitada ocasione una lesión específica y grave del interés general más allá de aquella que de por sí produce la no ejecución de un fallo judicial (AATC 163/1996, 419/1997, 48/1998, 262/1998, 106/2002). Igualmente procede la suspensión de la pena accesoria legal de inhabilitación especial para el ejercicio de derecho de sufragio pasivo durante el tiempo de la condena, pues, como señala el Ministerio Fiscal,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(costas procesales e indemnización)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ni la indemnización impuesta (54.550.006 pesetas, a abonar conjunta y solidariamente con otros dos condenados) es de extraordinaria cuantía, ni se ha acreditado la irreparabilidad del perjuicio derivado de la ejecución por la concurrencia de circunstancias especiales. El recurrente se limita a afirmar que, de ejecutarse el embargo que pesa sobre sus bienes, el perjuicio no podría repararse, porque no podría recuperar el bien, pero no aporta prueba alguna sobre sus dificultades económicas para hacer frente al pago de la cantidad en cuestión (lo que evitaría la ejecución del embargo), ni acredita la existencia del citado embargo, ni que se haya solicitado la ejecución del mismo. Y, como reiteradamente hemos sostenido, la acreditación del perjuicio es carga del recurrente, quien debe además probar, o al menos justificar ofreciendo un principio razonable de prueba, la irreparabilidad del perjuicio (por todos, AATC 253/1995, 72/1997, 93/2002).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Tercera de la Audiencia Provincial de Zaragoza de 26 de diciembre de 2000 exclusivamente en lo referente a la pena privativa de libertad de seis meses de prisión y a la accesoria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 por el tiempo de la condena impuesta a don Hector Millán Callabed.</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veintiocho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