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3600-2004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del Auto de fecha 5 de mayo de 2004 dictado por el Juzgado de Primera Instancia núm. 2 de los de Antequera en el procedimiento de ejecución núm 260-2001.  Notifíquese a la parte recurrente y al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junio de 2004, la Procuradora de los Tribunales doña María Luisa Noya Otero interpuso, en nombre de doña Margarita Boudere Gómez, recurso de amparo contra Auto de fecha 5 de mayo de 2004 del Juzgado de Primera Instancia núm. 2 de los de Antequera, dictado en procedimiento de ejecución núm 260-20/01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Juzgado de Primera Instancia núm 2 de los de Antequera dictó Auto, en el procedimiento de ejecución núm 260-2001, dimanante del juicio de menor cuantía núm 211/99 sobre división de cosa común, por el que se acordó la venta en pública subasta de determinada finca urbana. </w:t>
      </w:r>
    </w:p>
    <w:p w:rsidRPr="00C21FFE" w:rsidR="00AD51A7" w:rsidRDefault="00AD51A7">
      <w:pPr>
        <w:rPr/>
      </w:pPr>
      <w:r w:rsidRPr="&lt;w:rPr xmlns:w=&quot;http://schemas.openxmlformats.org/wordprocessingml/2006/main&quot;&gt;&lt;w:lang w:val=&quot;es-ES_tradnl&quot; /&gt;&lt;/w:rPr&gt;">
        <w:rPr/>
        <w:t xml:space="preserve">b) Mediante escrito de fecha 25 de septiembre de 2003, don Pedro Miranda Rojas se personó en dicho procedimiento de ejecución, alegando ser propietario de la finca objeto del procedimiento y solicitando la suspensión de la subasta que venía señalada y de la ejecución, acordándose por el Juzgado la suspensión de la subasta y el traslado a las demás partes. </w:t>
      </w:r>
    </w:p>
    <w:p w:rsidRPr="00C21FFE" w:rsidR="00AD51A7" w:rsidRDefault="00AD51A7">
      <w:pPr>
        <w:rPr/>
      </w:pPr>
      <w:r w:rsidRPr="&lt;w:rPr xmlns:w=&quot;http://schemas.openxmlformats.org/wordprocessingml/2006/main&quot;&gt;&lt;w:lang w:val=&quot;es-ES_tradnl&quot; /&gt;&lt;/w:rPr&gt;">
        <w:rPr/>
        <w:t xml:space="preserve">c) El Juzgado dictó Auto, de fecha 13 de abril de 2004, por el que acordaba suspender el procedimiento de ejecución, al estimar que don Pedro Miranda Rojas tenía título suficiente para ostentar la propiedad del bien objeto de subasta. </w:t>
      </w:r>
    </w:p>
    <w:p w:rsidRPr="00C21FFE" w:rsidR="00AD51A7" w:rsidRDefault="00AD51A7">
      <w:pPr>
        <w:rPr/>
      </w:pPr>
      <w:r w:rsidRPr="&lt;w:rPr xmlns:w=&quot;http://schemas.openxmlformats.org/wordprocessingml/2006/main&quot;&gt;&lt;w:lang w:val=&quot;es-ES_tradnl&quot; /&gt;&lt;/w:rPr&gt;">
        <w:rPr/>
        <w:t xml:space="preserve">d) Con fecha 23 de abril de 2004 se presentó escrito por don Pedro Miranda Rojas solicitando la aclaración del Auto dictado, al amparo del art. 215 LEC, en el sentido de incluir en dicho Auto la expresa condena en costas del incidente a doña Margarita Boudere Gómez. </w:t>
      </w:r>
    </w:p>
    <w:p w:rsidRPr="00C21FFE" w:rsidR="00AD51A7" w:rsidRDefault="00AD51A7">
      <w:pPr>
        <w:rPr/>
      </w:pPr>
      <w:r w:rsidRPr="&lt;w:rPr xmlns:w=&quot;http://schemas.openxmlformats.org/wordprocessingml/2006/main&quot;&gt;&lt;w:lang w:val=&quot;es-ES_tradnl&quot; /&gt;&lt;/w:rPr&gt;">
        <w:rPr/>
        <w:t xml:space="preserve">e) El Juzgado, sin conferir traslado a las partes, dictó en fecha 5 de mayo de 2004 Auto aclaratorio por el que, con fundamento en el art. 267.1 LOPJ, acuerda aclarar el Auto de fecha 13 de abril en el sentido de incluir en su fundamento de derecho segundo la condena en costas del incidente a la demandante de amparo, por aplicación del principio de vencimiento del art. 394.1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considera que el Auto aclaratorio dictado inaudita parte ha vulnerado su derecho a la tutela judicial efectiva, en su vertiente del derecho a la intangibilidad, invariabilidad o inmodificabilidad de las resoluciones judiciales (art. 24.1 CE). Interesó por Otrosí Digo, en su demanda de amparo, la suspensión de la ejecución, argumentando que la misma le ocasionaría un perjuicio pecuniario, en cuanto se vería obligada a hacer frente con su propio peculio al pago de las costas impuestas, con la posibilidad de que el pago realizado, de prosperar el recurso de amparo, fuera irrecuperable, haciendo con ello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5 de junio de 2006,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de amparo formuló sus alegaciones en escrito que tuvo entrada en este Tribunal el día 13 de junio de 2006, reiterando su petición de suspensión y argumentando que, de no adoptarse tal medida, se produciría un grave perjuicio de difícil recuperación, que haría perder al amparo solicitado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ante este Tribunal el 19 de junio de 2006, el Ministerio Fiscal interesó la denegación de la suspensión interesada de la ejecución de las resoluciones impugnadas. Alega el Fiscal que los perjuicios que se pueden derivar de la ejecución de las resoluciones recurridas en amparo son de naturaleza económica y, por tanto, susceptibles de reparación en el caso de que, por otorgarse el amparo, se anularan las resoluciones recurridas en amparo, sin que tampoco se hayan probado en esta sede los perjuicios irreparables derivados de la no suspensión, lo que es carga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238/2004, de 28 de junio).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 Así, por ejemplo,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el interés debatido es exclusivamente económico, y se circunscribe a que, en caso de otorgarse el amparo, debiera procederse al reintegro del importe de las costas a cuyo pago ha sido condenada la demandante de amparo. De este modo, es claro que el conflicto hay que resolverlo, como indica la antecitada doctrina constitucional, atendiendo al hecho de que el eventual perjuicio para la demandante sería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 máxime cuando no se ha probada ante este Tribunal que tal perjuicio pudiese ser irreparable, lo que es carga del recurrente. La aplicación de este criterio al supuesto que ahora nos ocupa determina inexorablemente la denegación de la medida cautelar de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del Auto de fecha 5 de mayo de 2004 dictado por el Juzgado de Primera Instancia núm. 2 de los de Antequera en el procedimiento de ejecución núm 260-2001.  Notifíquese a la parte recurrente y al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