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3493-2004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31 de mayo de 2004, el Procurador de los Tribunales don Fernando Rodríguez-Jurado Saro, en nombre y representación de la Asociación gallega de técnicos de laboratorio, interpuso recurso de amparo por vulneración de los arts. 14 y 24 CE, contra el Auto de la la Sala de lo Social del Tribunal Supremo, de 10 de marzo de 2004, recaído en el recurso de casación para la unificación de doctrina núm. 8/1273/03, y contra la Sentencia de la Sala de lo Social del Tribunal Superior de Justicia de Galicia, de 31 de diciembre de 2002, que resuelve el recurso de suplicación núm. 4426-1999, formulado contra la Sentencia del Juzgado de lo Social núm. 4 de La Coruña, de 29 de enero de 1999, en autos núm. 291/98, por considerar que vulneran el art. 24 y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por providencia de 11 de julio de 2006, admitió a trámite la demanda de amparo, y conforme se solicitaba por la recurrente en la misma, se ordenó que se formase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Por providencia de la misma fecha se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del trámite conferido la parte recurrente presentó con fecha de 26 de julio de 2006 su escrito de alegaciones insistiendo en lo mantenido en la demanda de amparo acerca del perjuicio que a esa parte acarrearía la ejecución de las resolución recurrida, a saber, que dado que las resoluciones judiciales recurridas le han negado legitimación activa para entablar la acción, se encuentra imposibilitada de interponer demandas en defensa de los intereses de sus socios.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por escrito de 27 de julio de 2006, interesando se declare no haber lugar a la suspensión solicitada en aplicación de la doctrina de este Tribunal, según la cual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art. 56.1 LOTC. Aplicando tal doctrina entiende que, dado que la ejecución de las resoluciones que se cuestionan no implica las consecuencias que se arguyen para solicitar la suspensión, faltan el perjuicio irreparable para los derechos fundamentales y la pérdida de la finalidad del amparo que son los requisitos a los que el art. 56.1 LOTC supedita la suspensión, por lo que entiende que no procede acceder a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o resolución impugnados “cuando la ejecución hubiere de ocasionar un perjuicio que haría perder al amparo su finalidad”, aunque no procederá cuando de ella “puede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(entre otros, reproduciendo anterior doctrina, AATC 4/2006, de 16 de enero; 25/2006, de 30 de enero; y 180/2006, de 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la doctrina anteriormente expuesta al presente recurso debe conducir insoslayablemente a la desestimación de la solicitud de suspensión. En efecto, las decisiones judiciales impugnadas constituyen resoluciones de mero contenido negativo (inadmisión de la demanda en sede de suplicación al apreciarse la falta de legitimación activa para entablar la concreta acción, e inadmisión del posterior recurso de casación para la unificación de doctrina formulado contra la Sentencia recaída en suplicación) que, como tales, no son susceptibles de suspensión, ya que ésta podría equivaler a una anticipación de la Sentencia concediendo el amparo. Por otra parte la no suspensión no hace perder al amparo su finalidad, pues, en el caso de que se estimase el presente recurso, el restablecimiento del recurrente en la integridad del derecho fundamental que dice vulnerado puede lograrse declarando la nulidad de las decisiones recurridas a fin de que se dicte una nueva resolución en la que se repare la lesión del derecho a la tutela judicial efectiva que el demandante esgrime.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