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enero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2650-2007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2650-2007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 Sentencia de la Audiencia Provincial de Albacete, Sección Segunda, de 21 de febrero de 2007.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23 de marzo de 2007 el Procurador de los Tribunales don Enrique de Antonio Vizcor, en nombre y representación de don Miguel Collado Honrubia, interpuso recurso de amparo contra la Sentencia de la Audiencia Provincial de Albacete (Sección Segunda) de 21 de febrero de 2007, ya referenciada, en la cual, revocando el pronunciamiento absolutorio dictado por el Juzgado de lo Penal núm. 2 de Albacete en Sentencia de 31 de octubre de 2006, se condena al recurrente por un delito de quebrantamiento de condena, a la pena de multa de doce meses, con cuota diaria de seis euros, con arresto sustitutorio de un día cada dos cuotas impagadas. </w:t>
      </w:r>
    </w:p>
    <w:p w:rsidRPr="00C21FFE" w:rsidR="00AD51A7" w:rsidRDefault="00AD51A7">
      <w:pPr>
        <w:rPr/>
      </w:pPr>
      <w:r w:rsidRPr="&lt;w:rPr xmlns:w=&quot;http://schemas.openxmlformats.org/wordprocessingml/2006/main&quot;&gt;&lt;w:lang w:val=&quot;es-ES_tradnl&quot; /&gt;&lt;/w:rPr&gt;">
        <w:rPr/>
        <w:t xml:space="preserve">En Segundo Otrosí, el recurrente solicitaba, al amparo de lo dispuesto en el art. 56 LOTC, la suspensión de la ejecución de la Sentencia objeto de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providencia de 27 de noviembre de 2007, acordó admitir a trámite la demanda de amparo y, por providencia de la misma fecha, acordó formar la oportuna pieza para la tramitación del incidente de suspensión, otorgando, de conformidad con lo dispuesto en el art. 56 LOTC, un plazo común de tres días al demandante de amparo y al Ministerio Público para que formulasen las alegaciones que tuvieran por conveniente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del demandante de amparo evacuó el trámite de alegaciones conferido mediante escrito presentado en el Registro General de este Tribunal el día 12 de diciembre de 2007, en el que manifestó que su situación económica le impide hacer frente al pago de la multa, lo que supondría el cumplimiento del arresto sustitutorio, conllevando un perjuicio de imposible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evacuó el trámite de alegaciones conferido mediante escrito presentado en el Registro general de este Tribunal el 19 de diciembre de 2007, considerando procedente la suspensión de la ejecución de la Sentencia recurrida en lo relativo al arresto sustitutorio en caso de impago de la multa, fundándose en que, no implicando la suspensión perturbación grave de los intereses generales, por tratarse de una situación individualizada, ni perturbación grave de derechos fundamentales de terceros, y atendiendo a la duración no superior a seis meses que la responsabilidad personal subsidiaria tendría, y al tiempo que normalmente se precisa para la tramitación de un recurso de amparo, podría éste devenir ineficaz y perder su finalidad en caso de la no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en la redacción vigente antes de su reforma por Ley Orgánica 6/2007,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63/2001, de 26 de marzo; 170/2001, de 22 de junio; 58/2002, de 8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(por todos, ATC 159/2001, de 18 de junio, FJ 2 y las resoluciones allí citadas). Más en concreto, en cuanto a la ejecución de las sentencias penales que condenan al pago de una multa, nuestra doctrina viene señalando (como se recuerda en los AATC 135/1999, de 31 de mayo, FJ 3, 83/2001, de 23 de abril, FJ 2 y 261/2001, de 15 de octubre, FJ 4) que la ejecución del pago de la multa no lleva consigo, como regla, la producción de perjuicios irreparables para el condenado a su cumplimiento, de tal manera que la ejecución de la sentencia firme respecto de tales pronunciamientos de contenido económico no determina la pérdida de la finalidad del amparo promovido, dado que cabe la íntegra restitución de lo que fue objeto de ejecución o cumplimiento en el caso de una eventual estimación del recurso de amparo que así lo ordenase</w:t>
      </w:r>
    </w:p>
    <w:p w:rsidRPr="00C21FFE" w:rsidR="00AD51A7" w:rsidRDefault="00AD51A7">
      <w:pPr>
        <w:rPr/>
      </w:pPr>
      <w:r w:rsidRPr="&lt;w:rPr xmlns:w=&quot;http://schemas.openxmlformats.org/wordprocessingml/2006/main&quot;&gt;&lt;w:lang w:val=&quot;es-ES_tradnl&quot; /&gt;&lt;/w:rPr&gt;">
        <w:rPr/>
        <w:t xml:space="preserve">Y en lo tocante a la responsabilidad personal subsidiaria en caso de impago de multa, en aplicación de la doctrina mantenida por este Tribunal, no procede, en el momento actual, su suspensión, al tratarse de una eventualidad incierta que depende de que la multa no llegase efectivamente a ser pagada, y en cualquier caso de una eventualidad futura que, en caso de sobrevenir, podría dar lugar a nueva solicitud de suspensión y a la posibilidad de modificación de la medida cautelar que ahora se adopta, en virtud del art. 57 LOTC (AATC 107/1998, de 4 de mayo, 117/1999, de 29 de abril, 132/2000, de 29 de mayo, 258/2000, de 13 de noviembre; 230/2001, de 24 de julio; 35/2002, de 11 de marzo; 86/2003, de 17 de marzo; 361/2003, de 10 de noviembre, y 117/2004, de 19 de abril).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 Sentencia de la Audiencia Provincial de Albacete, Sección Segunda, de 21 de febrero de 2007.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enero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