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10382-2006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10382-2006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Sala de lo Penal del Tribunal Supremo el 10 de octubre de 2006, parcialmente estimatoria del recurso de casación interpuesto contra la dictada por la Sección Tercera de la Sala de lo Penal de la</w:t>
            </w:r>
          </w:p>
          <w:p w:rsidRPr="00D13423" w:rsidR="00AD51A7" w:rsidRDefault="00AD51A7">
            <w:pPr>
              <w:rPr/>
            </w:pPr>
            <w:r w:rsidRPr="&lt;w:rPr xmlns:w=&quot;http://schemas.openxmlformats.org/wordprocessingml/2006/main&quot;&gt;&lt;w:color w:val=&quot;800080&quot; /&gt;&lt;w:szCs w:val=&quot;24&quot; /&gt;&lt;/w:rPr&gt;">
              <w:rPr/>
              <w:t xml:space="preserve">Audiencia Nacional el 9 de diciembre de 2004, exclusivamente en lo referente a la pena privativa de libertad de tres años y nueve meses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15 de noviembre de 2006, don Ramón Blanco Blanco, Procurador de los Tribunales, en nombre y representación de don Manuel Torres García, asistido por la Letrada doña Victoria de la Cruz García Paquet, interpuso recurso de amparo contra la Sentencia dictada por la Sala de lo Penal del Tribunal Supremo el 10 de octubre de 2006 en el recurso de casación núm. 2143-2005, que estimó parcialmente el recurso de casación interpuesto contra la Sentencia dictada por la Sección Tercera de la Sala de lo Penal de la Audiencia Nacional el 9 de diciembre de 2004, en el procedimiento abreviado núm. 5-1998.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fundamentos de hecho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de 9 de diciembre de 2004, dictada por la Sección Tercera de la Sala de lo Penal de la Audiencia Nacional, como autor de un delito contra la salud pública (arts. 368 y 369.3 y 6 CP) a las penas de cuatro años de prisión y multa de 650.174,89 euros, con responsabilidad personal subsidiaria de dos meses en caso de impago, así como al pago de las costas procesales causadas. </w:t>
      </w:r>
    </w:p>
    <w:p w:rsidRPr="00C21FFE" w:rsidR="00AD51A7" w:rsidRDefault="00AD51A7">
      <w:pPr>
        <w:rPr/>
      </w:pPr>
      <w:r w:rsidRPr="&lt;w:rPr xmlns:w=&quot;http://schemas.openxmlformats.org/wordprocessingml/2006/main&quot;&gt;&lt;w:lang w:val=&quot;es-ES_tradnl&quot; /&gt;&lt;/w:rPr&gt;">
        <w:rPr/>
        <w:t xml:space="preserve">b) El condenado interpuso recurso de casación contra la anterior Sentencia, que fue parcialmente estimado por la Sala de lo Penal del Tribunal Supremo mediante Sentencia de 10 de octubre de 2006, que rebajó la pena privativa de libertad a tres años y nueve meses, al no apreciar la concurrencia de la agravante específica de pertenencia a organización.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los derechos del recurrente a la presunción de inocencia (art. 24.2 CE) y a la tutela judicial efectiva (art. 24.1 CE). Por otrosí, en la misma demanda, el recurrente solicita que se deje en suspenso la ejecución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septiembre de 2008 la Sección Segunda de este Tribunal acordó la admisión a trámite de la demanda de amparo y, obrando ya en la Secretaría de este Tribunal testimonio de las actuaciones seguidas en la Sala de lo Penal de la Audiencia Nacional, se acordó, a tenor de lo establecido en el art. 51 LOTC, requerir atentamente a la Sala de lo Penal del Tribunal Supremo para que remitiera testimonio de sus actuaciones. Al tiempo, se interesó de la Sección Tercera de la Sala de lo Penal de la Audiencia Nacional que emplazase a quienes fueron parte en el procedimiento, con excepción del recurrente en amparo, para que en el plazo de diez días pudieran comparecer en este proceso constitucional, con traslado a dichos efectos de la demanda presentada.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mediante escrito presentado el 23 de septiembre de 2008, reitera su petición de que este Tribunal proceda a suspender la ejecución de la Sentencia condenatoria, en atención a que en ningún caso se produciría perturbación grave de los intereses generales o de los derechos fundamentales y libertades públicas de un tercero, mientras que la ejecución ocasionaría un grave perjuicio al recurrente, puesto que la pérdida de libertad sería irreparable. Añade que en todo momento ha estado a disposición de los órganos judiciales e ingresó voluntariamente en prisión cuando fue requerido para el cumplimiento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29 de septiembre de 2008, el Ministerio Fiscal estima procedente que se acuerde la suspensión de la ejecución de la Sentencia condenatoria impugnada, en lo que afecta al cumplimiento de la pena privativa de libertad, atendida la escasa duración de la pena de prisión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todos, AATC 2/2001, de 15 de enero; 45/2001, de 26 de febrero; 64/2001, de 26 de marzo; 78/2001, de 2 de abril; y 83/2001, de 23 de abril). Por perjuicio irreparable hemos entendido aquel que provoque que el restablecimiento del recurrente en el derecho constitucional vulnerado sea tardío e impida su efectiva restauración (entre otros muchos, AATC 251/2000, de 30 de octubre; 63/2001, de 26 de marzo; 170/2001, de 22 de junio;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En orden a las condenas a penas privativas de libertad de hasta cinco años, la regla general ha sido su suspensión conforme al criterio genérico de la pérdida de eficacia del amparo —atendida su duración y la previsible de resolución del proceso de amparo— y a la entidad de la pena en cuanto expresiva del grado de reprobación del hecho por el ordenamiento (AATC 277/1985, de 24 de abril; 264/1998, de 26 de noviembre; 265/1998, de 26 de noviembre; 22/2002, de 25 de febrero; y 39/2004, de 9 de febrero),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pena privativa de libertad, podría ocasionarse al recurrente un perjuicio irreparable toda vez que, como ya hemos declarado en anteriores ocasiones (por todas, AATC 269/1998, de 26 de noviembre, y 84/2002, de 20 de mayo), estando comprendida la duración de la condena a pena de prisión —tres años y nueve meses— dentro de la posible duración de la tramitación del presente recurso, dicha pena privativa de libertad podría estar próxima a cumplirse —o se habría cumplido ya en su totalidad— en dicho momento. Al mismo tiempo, debemos considerar que, en el presente caso, la suspensión no ocasiona una “perturbación grave … de los derechos fundamentales o libertades públicas de un tercero” (art. 56 LOTC), como acontece cuando la suspensión de la pena privativa de libertad puede incidir en el derecho a la integridad física de la víctima (art. 15 CE) ante el riesgo de eventuales nuevos ataques.</w:t>
      </w:r>
    </w:p>
    <w:p w:rsidRPr="00C21FFE" w:rsidR="00AD51A7" w:rsidRDefault="00AD51A7">
      <w:pPr>
        <w:rPr/>
      </w:pPr>
      <w:r w:rsidRPr="&lt;w:rPr xmlns:w=&quot;http://schemas.openxmlformats.org/wordprocessingml/2006/main&quot;&gt;&lt;w:lang w:val=&quot;es-ES_tradnl&quot; /&gt;&lt;/w:rPr&gt;">
        <w:rPr/>
        <w:t xml:space="preserve">Por el contrario, la pena de multa y las costas procesales son reconducibles a términos económicos, por lo que les resulta aplicable la doctrina de la no suspensión por su reparabilidad; tanto más cuanto el demandante ni siquiera ha intentado justificar el carácter irreversible de los daños que podría ocasionarle su abono. Igualmente, en cuanto a la responsabilidad personal subsidiaria para el caso de impago de la pena de multa, se trata en este momento de una eventualidad incierta y futura que, en caso de sobrevenir, podría dar lugar a la modificación de la decisión que ahora se adopte, en virtud de lo dispuesto en el art. 57 LOTC (por todos, ATC 369/2004, de 4 de octubre), por lo que no procede en este momento su suspensión (AATC 149/2006, de 8 de mayo, FJ 2 in fine; 366/2006, de 23 de octubre, FJ 1; y 59/2008, de 20 de febrero,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Sala de lo Penal del Tribunal Supremo el 10 de octubre de 2006, parcialmente estimatoria del recurso de casación interpuesto contra la dictada por la Sección Tercera de la Sala de lo Penal de la</w:t>
      </w:r>
    </w:p>
    <w:p w:rsidRPr="" w:rsidR="00AD51A7" w:rsidRDefault="00AD51A7">
      <w:pPr>
        <w:rPr/>
      </w:pPr>
      <w:r w:rsidRPr="&lt;w:rPr xmlns:w=&quot;http://schemas.openxmlformats.org/wordprocessingml/2006/main&quot;&gt;&lt;w:szCs w:val=&quot;24&quot; /&gt;&lt;/w:rPr&gt;">
        <w:rPr/>
        <w:t xml:space="preserve">Audiencia Nacional el 9 de diciembre de 2004, exclusivamente en lo referente a la pena privativa de libertad de tres años y nueve meses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