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393</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diciembre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5187-2006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5187-2006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10 de mayo de 2006, el Procurador de los Tribunales don Santos de Gandarillas Carmona, en nombre y representación de doña María Dolores Asunción y don José Antonio Guerra Guerra, interpusieron recurso de amparo contra el Auto de 20 de marzo de 2006 que desestima el incidente de nulidad de actuaciones formulado por la representación procesal de los demandantes de amparo en relación con la Sentencia de 9 de abril de 2002, dictados ambos por la Audiencia Provincial de Las Palmas de Gran Canaria (Sección Cuarta). Por otrosí, en la misma demanda de amparo se solicitó la suspensión de la ejecución del Auto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28 de octubre de 2008, dictada por la Sala Segunda del Tribunal Constitucional, se acordó admitir a trámite la demanda. Por otra providencia de esa misma fecha, la Sala acordó formar la correspondiente pieza separada de suspensión según lo solicitado por el demandante y, de conformidad con lo prevenido en el art. 56 de la Ley Orgánica del Tribunal Constitucional, conceder un plazo común de tres días al Ministerio Fiscal y al solicitante de amparo, para que, dentro de dicho término,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trámite de alegaciones mediante escrito registrado en este Tribunal con fecha de 20 de noviembre de 2008 en el que interesó la denegación de la solicitud de suspensión formalizada por la parte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del recurrente, por su parte, no presentó ningún escrito en relación con el señalado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al art. 56.2 LOTC resultado de la reciente reforma de la Ley Orgánica 6/2007, este Tribunal ha venido entendiendo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Consecuentemente, “la regla general debe ser la improcedencia de la suspensión, que se configura así como una medida provisional de carácter excepcional y de aplicación restrictiva”, pertinente sólo cuando la ejecución del fallo cause al solicitante de amparo un perjuicio irreparable en los derechos fundamentales invocados en el proceso constitucional. Por perjuicio irreparable hemos entendido aquel que provoque que el restablecimiento del recurrente en el derecho constitucional vulnerado sea tardío e impida su efectiva restauración (por todos, ATC 4/2006, de 16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asunto los demandantes de amparo solicitan la suspensión de la resolución recurrida en amparo argumentando que, de lo contrario, se ocasionará un perjuicio que haría perder al amparo su finalidad. Sin embargo, en el supuesto sometido a nuestra consideración la parte demandante no justifica cumplidamente la existencia de perjuicios que harían perder al amparo su finalidad; los recurrentes se limitan a afirmar la existencia de eventuales perjuicios, sin concreción suficiente, alegando un genérico quebranto respecto del que no se acreditan especiales circunstancias que hagan que la eventual estimación del recurso de amparo fuese ineficaz o perdiera la finalidad que le es propia.</w:t>
      </w:r>
    </w:p>
    <w:p w:rsidRPr="00C21FFE" w:rsidR="00AD51A7" w:rsidRDefault="00AD51A7">
      <w:pPr>
        <w:rPr/>
      </w:pPr>
      <w:r w:rsidRPr="&lt;w:rPr xmlns:w=&quot;http://schemas.openxmlformats.org/wordprocessingml/2006/main&quot;&gt;&lt;w:lang w:val=&quot;es-ES_tradnl&quot; /&gt;&lt;/w:rPr&gt;">
        <w:rPr/>
        <w:t xml:space="preserve">Debe tenerse en cuenta que la acreditación del perjuicio es carga del recurrente, quien, además de alegar también debe probar o, por los menos, justificar, ofreciendo un principio razonable de prueba, la irreparabilidad o dificultad de la reparación de los perjuicios de seguirse la ejecución del acto impugnado (por todos, AATC 253/1995, de 25 de septiembre, FJ 1; y 72/1997, de 10 de marzo, FJ 2).</w:t>
      </w:r>
    </w:p>
    <w:p w:rsidRPr="00C21FFE" w:rsidR="00AD51A7" w:rsidRDefault="00AD51A7">
      <w:pPr>
        <w:rPr/>
      </w:pPr>
      <w:r w:rsidRPr="&lt;w:rPr xmlns:w=&quot;http://schemas.openxmlformats.org/wordprocessingml/2006/main&quot;&gt;&lt;w:lang w:val=&quot;es-ES_tradnl&quot; /&gt;&lt;/w:rPr&gt;">
        <w:rPr/>
        <w:t xml:space="preserve">Esta señalada falta de justificación ha de suponer la denegación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diciembre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