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y, en consecuencia, dejar sin efecto la providencia de 23 de septiembre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18 de marzo de 2009, el Procurador de los Tribunales don Victorio Venturini Medina, en nombre y representación de don Pedro Santieri Cardillo, don Francisco Castelló Piera y don Luis García Alarcón, interpuso recurso de amparo contra los Autos de 23 de septiembre y 22 de diciembre de 2008 y la providencia de 12 de febrero de 2009, resoluciones todas ellas dictadas por la Sección Séptima de la Audiencia Provincial de Madrid en ejecutoria núm. 37-2003, dimanante del rollo núm. 117-1998.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septiembre de 2009 la Sección Primera de este Tribunal decidió inadmitir el recurso de amparo, de conformidad con lo dispuesto en los arts. 49.1 y 50.1 a) de la Ley Orgánica de este Tribunal, en la redacción dada a los mismos por la Ley Orgánica 6/2007, de 24 de mayo, por no haber satisfecho los recurrentes la carga consistente en justificar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referida providencia de inadmisión del recurso de amparo interpone recurso de súplica el Ministerio Fiscal mediante escrito registrado en este Tribunal el día 15 de octubre de 2009, solicitando que se deje sin efecto la misma, toda vez que si bien es cierto que en el escrito de demanda de amparo no se justificó expresamente la especial trascendencia constitucional del recurso, resulta que los recurrentes presentaron un escrito ampliatorio de la demanda el 1 de abril de 2009, dentro, por tanto, del plazo de 30 días del art. 44.2 LOTC desde la notificación de la providencia de 12 de febrero de 2009 (última resolución recurrida en amparo), siendo así que en dicho escrito se contienen una serie de consideraciones en orden a justificar la especial trascendencia constitucional del recurso, cumpliendo así con el presupuesto señalado en el art. 49.1 in fine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 la Sala Primera de este Tribunal de 19 de octubre de 2009 se dio traslado del recurso de súplica del Ministerio Fiscal a la representación procesal de los demandantes de amparo, a fin de que en el plazo de tres días pudieran alegar lo que estimasen pertinente con relación al mismo, de conformidad con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28 de octubre de 2009, la representación procesal de los demandantes de amparo manifestó su adhesión a las alegaciones formuladas por el Ministerio Fiscal en su recurso de súplica, interesando la estimación del mismo y solicitando en consecuencia que se deje sin efecto la providencia de la Sección Primera de este Tribunal de 23 de septiembre de 2009 y se dicte otra en su lugar por la que se acuerde admitir a trámite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el Ministerio Fiscal ante el Tribunal Constitucional contra la providencia de inadmisión del recurso de amparo de 23 de septiembre de 2009 debe ser estimado. En efecto, mediante la providencia recurrida se acordó por error la inadmisión de la demanda de amparo por no haber satisfecho los recurrentes la carga consistente en justificar la especial trascendencia constitucional del recurso (art. 49.1 in fine LOTC), siendo así que, como advierte el Ministerio Fiscal, si bien es cierto que en la demanda de amparo no se contiene argumentación alguna destinada al cumplimiento de este requisito, resulta que los recurrentes presentaron un escrito ampliatorio de la demanda el 1 de abril de 2009, esto es, dentro del plazo de treinta días del art. 44.2 LOTC desde la notificación de la providencia de 12 de febrero de 2009 (última resolución que se recurre en amparo), en el que se contienen una serie de consideraciones en orden a justificar expresamente, en el sentido exigido por los AATC 188/2008, de 21 de julio, y 289/2008, de 22 de septiembre, y por la STC 155/2009, de 25 de junio, FJ 2, la especial trascendencia constitucional del recurso, cumpliéndose así el requisito señalado en el art. 49.1 in fine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Cumple advertir que si bien la exigencia prevista en el art. 49.1 in fine LOTC de que en la demanda de amparo se justifique en todo caso la especial trascendencia constitucional del recurso es un requisito insubsanable que conduce a su inadmisión a limine (AATC 188/2008, de 21 de julio, FJ 3, y ATC 289/2008, de 22 de septiembre, FJ 3), esta insubsanabilidad no comprende supuestos como el presente, en los que la inicial demanda de amparo se complementa posteriormente con un escrito ampliatorio presentado dentro del tiempo aun restante del plazo legal de interposición del recurso de amparo y antes de que este Tribunal hubiese dictado providencia acordando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estimando el recurso de súplica del Ministerio Fiscal, dejar sin efecto la providencia de la Sección Primera de este Tribunal de 23 de septiembre de 2009, sin que ello suponga, como es obvio, la admisión a trámite del presente recurso de amparo, pues el cumplimiento por parte de los recurrentes de la exigencia impuesta por el art. 49.1 in fine LOTC de justificar de manera expresa la especial trascendencia constitucional del recurso de amparo, lo es sin perjuicio, claro está, de “la apreciación por parte de este Tribunal, atendiendo a los criterios señalados por el art. 50.1 b) LOTC, acerca de si, cumplida aquella exigencia por el recurrente, el recurso de amparo reviste efectivamente una especial trascendencia constitucional que justifique una decisión sobre el fondo por parte del Tribunal Constitucional” (ATC 188/2008, de 21 de julio, FJ 1; y ATC 289/2008, de 22 de septiembre, FJ 2). En efecto, satisfecha por el recurrente la carga de justificar la especial trascendencia constitucional del recurso de amparo, “es a este Tribunal a quien corresponde apreciar en cada caso la existencia o inexistencia de esa ‘especial trascendencia constitucional’” (STC 155/2009, de 25 de junio, FJ 2).</w:t>
      </w:r>
    </w:p>
    <w:p w:rsidRPr="00C21FFE" w:rsidR="00AD51A7" w:rsidRDefault="00AD51A7">
      <w:pPr>
        <w:rPr/>
      </w:pPr>
      <w:r w:rsidRPr="&lt;w:rPr xmlns:w=&quot;http://schemas.openxmlformats.org/wordprocessingml/2006/main&quot;&gt;&lt;w:lang w:val=&quot;es-ES_tradnl&quot; /&gt;&lt;/w:rPr&gt;">
        <w:rPr/>
        <w:t xml:space="preserve">Así pues, sobre la admisión o inadmisión a trámite del presente recurso de amparo habrá de decidir expresamente esta Sección en nueva providencia (art. 50.1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y, en consecuencia, dejar sin efecto la providencia de 23 de septiembre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