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1.633/92, promovido por don José Jorro Pérez, representado por el Procurador de los Tribunales don Juan Antonio García San Miguel y Orueta y asistido por el Letrado don José Manuel Gómez Robles, contra la Sentencia del Juzgado de lo Penal núm. 6 de Alicante de 25 de junio de 1991 en el procedimiento abreviado 292/91, y contra la Sentencia dictada por la Sección Tercera de la Audiencia Provincial de esa misma ciudad, de fecha 22 de Mayo de 1992 en el rollo 128/91. Ha sido parte el Colegio Oficial de Agentes de la Propiedad Inmobiliaria de Alicante, representado por el Procurador de los Tribunales don Federico de Olivares Santiago y asistido por el Letrado don Jorge Jordana de Pozas, y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Junio de 1992, el Procurador de los Tribunales don Juan Antonio García San Miguel y Orueta, en nombre y representación de don José Jorro Pérez, interpuso recurso de amparo contra la Sentencia del Juzgado de lo Penal núm. 6 de Alicante y contra la Sentencia de la Audiencia Provincial de esa misma ciudad, de fecha 22 de mayo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amparo, miembro de la autodenominada Asociación Profesional de Gestores Intermediarios en Promociones de Edificaciones (G.I.P.E.), venía ejerciendo profesionalmente la actividad de intermediario inmobiliario, sin estar en posesión del título oficial de Agente de la Propiedad Inmobiliaria, cuando, a consecuencia de una denuncia presentada por el Colegio Oficial de Agentes de la Propiedad Inmobiliaria de Alicante, fue condenado por Sentencia del Juzgado de lo Penal núm. 6 de Alicante, de fecha 25 de Junio de 1991, como autor de un delito de intrusismo del art. 321.1 del Código Penal, a la pena de ocho meses de prisión menor, con accesorias y pago de las costas, incluyéndose las de la acusación particular.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desestimado por la Sentencia de la Audiencia Provincial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 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art.24.2 C.E., por cuanto la respuesta que a la misma pudiera ofrecer el TJCE resultaba determinante para el enjuiciamiento penal de la conducta atribuída al recurrente.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art.25.1 C.E.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agosto de 1992, la Sección acordó admitir a trámite la presente demanda de amparo, así como formar la oportuna pieza separada de suspensión y, de conformidad con lo dispuesto en el art.56 de la LOTC, conceder al recurrente y al Ministerio Fiscal un plazo de tres días para que alegaran cuanto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14 de Agosto de 1992, la representación del recurrente señalaba que, de no acordarse la suspensión solicitada, el amparo, caso de concederse, habría perdido su finalidad ya que, dada la mínima duración de la pena impuesta, es de suponer que su cumplimiento habría tenido ya lugar antes de finalizar la tramitación del presente recurso. Por su parte, el Ministerio Fiscal, en escrito registrado en este Tribunal el 13 de agosto de 1992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25 de agosto de 1992, la Sala de Vacaciones, en la pieza de suspensión sustanciada, dictó un Auto por el que acordaba suspender la ejecución de la pena privativa de libertad y de las accesorias impuestas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Noviembre de 1992, la Sección Segunda acordó tener por personado en el procedimiento al Procurador don Federico de Olivares Santiago, en nombre y representación del Colegio Oficial de Agentes de la Propiedad Inmobiliaria de Alicante, así como dar vista a las partes personadas y al Ministerio Fiscal de las actuaciones remitidas por el Juzgado de lo Penal núm. 6 de Alicante y por la Audiencia Provincial de esa misma ciudad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de este Tribunal con fecha 16 de noviembre de 1992, la representación del recurrente evacua el trámite de alegaciones conferido, reiterando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alegaciones de fecha 23 de Noviembre de 1992, el Procurador de los Tribunales don Federico J.de Olivares Santiago, en nombre y representación del Colegio Oficial de Agentes de la Propiedad Inmobiliaria de Alicante, manifiesta, en primer lugar, que no puede decirse, a la vista de que los órganos judiciales de instancia y apelación en ningún momento abrigaron dudas sobre la interpretación que había de darse a las normas comunitarias alegadas por el recurrente ni sobre su falta de aplicación al caso enjuiciado, que la denegación de planteamiento ante el TJCE de la cuestión prejudicial haya supuesto una vulneración del derecho a la tutela judicial efectiva. Por otra parte no siendo las disposiciones de la Directiva CEE 67/43/CEE de aplicación al caso enjuiciado, necesariamente ha de concluirse que la omisión de planteamiento ante el TJCE de una cuestión prejudicial sobre la compatibilidad de las mismas con el Real Decreto 1.464/1988 no ha supuesto vulneración alguna del derecho a a la tutela judicial efectiva o del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Se aduce por otra parte, frente a la pretendida vulneración del principio de legalidad penal invocada por el recurrente, que la subsunción de la conducta enjuiciada en el tipo delictivo contenido en el art. 321.1 del Código Penal, realizada en virtud de una cierta interpretación del mismo, constituye una cuestión de legalidad ordinaria no revisable en sede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día 20 de noviembre de 1992,el Ministerio Fiscal se opone a todos y cada uno de los motivos invocados por la representación del recurrente, estimando, en primer lugar, que no ha habido vulneración del derecho a la tutela judicial efectiva ya que las resoluciones judiciales impugnadas contienen una motivación fundamentada de su negativa al planteamiento ante el TJCE de la cuestión prejudicial solicitada; y que tampoco se ha infringido el derecho a la utilización de los medios de prueba pertinentes, por la sencilla razón de que, en el caso de autos, ninguna relación existe entre este derecho y la denegación de planteamiento de la citada cuestión prejudicial. Finalmente, rechaza el Ministerio Fiscal en su escrito de alegaciones que se haya producido una infracción del art. 25.1 C.E. por el hecho de haber procedido los órganos judiciales a la aplicación del art. 321.1 del Código Penal, ya que la interpretación que de los tipos penales lleven a cabo los órganos judiciales constituye una cuestión de mera legalidad que no puede ser revisada por este Tribunal. En consecuencia, el Ministerio Fiscal concluye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abril de 1993, se acordó señalar para deliberación y votación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la STC 111/1993, pronunciada en un recurso de amparo cuyos presupuestos y motivos coincidían sustancialmente con los expuestos en el asunto que ahora nos toca decidir,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Esta aplicación extensiva que, frente a lo que sostienen el Colegio de Agentes de la Propiedad Inmobiliaria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Jorro Pérez,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6 de Alicante, con fecha 25 de Junio de 1991 (procedimiento abreviado 292/91), y por la Sección Tercera de la Audiencia Provincial de esa misma ciudad, con fecha 22 de mayo de 1992 (rollo 128/91).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