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4627-2009, promovido por don José Félix Zabarte Jainaga, representado por el Procurador de los Tribunales don Luis Gómez López-Linares y asistido por el Abogado don Iñaki Goyoaga Llano, contra el Auto de la Sala de lo Penal del Tribunal Supremo de 5 de marzo de 2009 que declaró la inadmisión del recurso de casación presentado contra el Auto de la Sección Segunda de la Sala de lo Penal de la Audiencia Nacional de 25 de enero de 2008 en la ejecutoria núm. 69-1995. Ha intervenido el Ministerio Fiscal.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mayo de 2009 don José Félix Zabarte Jainaga Llano presentó en el Registro General de este Tribunal un escrito en el que manifestaba su deseo de interponer recurso de amparo contra el Auto de la Sala Segunda del Tribunal Supremo de 5 de marzo de 2009, que declaró no haber lugar a la admisión del recurso de casación presentado contra el Auto de la Sección Segunda de la Sala de lo Penal de la Audiencia Nacional de 25 de enero de 2008, al tiempo que designaba Letrado a don Iñaki Goyoaga Llano y solicitaba la designación de Procurador del turno de oficio, recayendo la designación en la Procuradora de los Tribunales doña María Yolanda Ortiz Alfonso. Posteriormente, a causa de su renuncia, fue sustituida por don Luis Gómez López-Linares, el cual suscribió la demanda mediante escrito presentado el 13 de octubre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Tercera de la Sala de lo Penal de la Audiencia Nacional, mediante Sentencia de 6 de marzo de 1986, condenó al demandante de amparo por la comisión de un delito de atentado a la pena de veintinueve años de reclusión mayor; por la comisión de un delito de utilización de vehículo de motor ajeno con intimidación de arma de fuego a la pena de cinco años de prisión menor; por la comisión de lesiones menos graves a la pena de tres meses de arresto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Sección, mediante Sentencia de 28 de abril de 1986, también condenó al demandante de amparo por la comisión de un delito de atentado con resultado de muerte a la pena de veintinueve años de reclusión mayor; y por la comisión de una falta de hurto a la pena de treinta días de arresto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Sección Tercera, mediante Sentencia de 3 de abril de 1987, condenó al demandante de amparo por la comisión de un delito de pertenencia a banda armada a la pena de ocho años de prisión mayor; por un delito de depósito de armas de guerra a la pena de seis años y un día de prisión mayor; por un delito de robo con intimidación en las personas a la pena de seis años de prisión menor; por dos delitos de falsificación de documento de identidad a las penas de tres meses de arresto mayor; y por un delito de uso público de nombre supuesto a la pena de tres meses de arresto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Sección, mediante Sentencia de 20 de septiembre de 1986, condenó al demandante de amparo por la comisión de un delito de asesinato a la pena de veintisiete años de reclusión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la Sección Tercera de la Sala de lo Penal de la Audiencia Nacional, mediante Sentencia de la misma fecha, 20 de septiembre de 1986, condenó al demandante de amparo por la comisión de un delito de asesinato a la pena de veintisiete años de reclusión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propia Sección, mediante Sentencia de 15 de marzo de 1994, condenó al demandante de amparo por la comisión de un delito de atentado a la pena de veintiocho años de reclusión mayor; por un delito de asesinato frustrado a la pena de veinte años de reclusión mayor; y por un delito de terrorismo a la pena de diez años de prisión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la Sala de lo Penal de la Audiencia Nacional, mediante Sentencia de 3 de mayo de 1986, condenó al demandante de amparo por la comisión de un delito de atentado a la pena de veintinueve años de reclusión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Sección Segunda, mediante Sentencia de 14 de junio de 1995, condenó al demandante de amparo, por la comisión de un delito de atentado a la pena de veintinueve años de reclusión mayor: por la comisión de un delito de asesinato a la pena de veintinueve años de reclusión mayor; por la comisión de un delito de homicidio a la pena se diecisiete años de reclusión menor; y por la comisión de un delito de utilización ilegítima de vehículo de motor ajeno a la pena de diez años de prisión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la Sección Segunda de la Sala de lo Penal de la Audiencia Nacional de 10 de julio de 1996 se desestimó la posibilidad de revisar tales condenas a la luz de los nuevos preceptos del Código penal (CP) de 1995 por entender que éstos no eran en su conjunto más beneficiosos para el reo. Para el Tribunal sentenciador “tampoco procederá la revisión cuando la antigua pena por aplicación de los beneficios penitenciarios del art. 100 del Código Penal vigente y normas complementarias equivalga en términos de cumplimiento real a una pena que también sea imponible, es decir, que se encuentre dentro del ámbito punitivo que establezca la nueva norma”, razón esta por la que acordó no haber lugar a la revisión, dado que la pena impuesta conforme al CP 1973 era también imponible conforme al nuevo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3 de febrero de 1997, la Sección Tercera de la Sala de lo Penal de la Audiencia Nacional acordó la acumulación de las condenas impuestas en todas las Sentencias señaladas, fijando en treinta años de privación de libertad el tiempo total de cumplimiento de las mismas, en aplicación de lo establecido en el art. 70.2 del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consecuencia de la acumulación de condenas, la Sala aprobó por providencia de 7 de noviembre de 1997 la correspondiente liquidación de condena, estableciéndose como fecha de extinción de la misma el 22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15 de noviembre de 2007, el centro penitenciario donde se encontraba interno el demandante de amparo remitió oficio a la Sección Segunda de la Sala de lo Penal de la Audiencia Nacional interesando si fuera de aplicación la doctrina de la Sentencia del Tribunal Supremo 197/2006, de 28 de febrero, y, en consecuencia, la redención de penas por el trabajo debería aplicarse a la suma de la totalidad de las condenas y no al límite de cumplimiento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Auto de la Sección Segunda de la Sala de lo Penal de la Audiencia Nacional de 25 de enero de 2008 acuerda ser de aplicación al demandante de amparo la doctrina establecida por el Tribunal Supremo en la citada Sentencia 197/2006, de 28 de febrero, a efectos de practicar la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10 de abril de 2008 el demandante de amparo dirigió escrito al centro penitenciario de Almería interesando el licenciamiento por cumplimiento de la condena para el 11 de abril de 2008. Por providencia de la Sección Segunda de la Sala de lo Penal de la Audiencia Nacional de 19 de junio de 2008 se acuerda que no ha lugar a la petición, debiéndose estar a lo acordado en Auto de 25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anterior providencia el demandante de amparo interpuso recurso de súplica solicitando su revocación. Por Auto de la mencionada Sección Segunda de 4 de noviembre de 2008 se desestima 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la misma Sección Segunda de 24 de abril de 2008 se tiene por preparado recurso de casación por infracción de ley contra el Auto de 25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la Sala de Segunda del Tribunal Supremo de 19 de junio de 2008 se declara desierto el recurso de casación por infracción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Contra dicho Auto el demandante de amparo interpone recurso de súplica con fecha 7 de julio 2008, alegando error material en el cómputo del plazo para formalizar. Por Auto de la Sala Segunda del Tribunal Supremo de 16 de septiembre de 2008 se acuerda declarar la nulidad del Auto de 19 de junio de 2008 por el que se acordaba tener por desierto el recurso de casación por infracción de ley anunciado.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Auto de la Sala de lo Penal del Tribunal Supremo de 5 de marzo de 2009 se acuerda no haber lugar a la admisión del recurso de casación formalizado contra el Auto de la Audiencia Nacional de 25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el amparo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alega la vulneración del principio de legalidad consagrado en el art. 25.1 y 2 CE en relación con el art. 9.3 CE y los arts. 70.2 y 100 del Código penal de 1973, el art. 66 del reglamento de servicios de prisiones de 1956 y el art. 202 del reglamento penitenciario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demandante de amparo que las resoluciones contra las que se articula el presente recurso de amparo, no sólo hacen abstracción de literalidad de normas sustantivas de obligado cumplimiento como son los arts. 70.2 y 100 del Código penal de 1973, los arts. 17.5 y 988 párrafo 3 de la Ley de enjuiciamiento criminal y el art. 202.1 del reglamento penitenciario, sino que, de facto, llevan a cabo la aplicación de una Sentencia que realiza una interpretación que va contra la propia letra y espíritu de la norma, al considerar las redenciones al margen del cumplimiento efectivo de la condena. Las resoluciones recurridas a través de la aplicación que contienen de la STS 197/2006, de 28 de febrero, niegan a las redenciones de pena por el trabajo el carácter de cumplimiento de pena de prisión. Niegan el carácter de beneficio penitenciario destinado a una reducción de condena y, por tanto, a su entender, vulneran los arts. 70.2 y 100 del Código penal, así como el art. 202 del reglamento penitenciario, que determinan el carácter redentor del trabajo y su aplicación en la reducción de la condena, al resultar contrarias a la literalidad de dichas disposiciones así como al espíritu de la ley que las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 que se está computando en la Sentencia cuya aplicación se pretende y a través de su aplicación en las resoluciones recurridas, no es el tiempo de cumplimiento sino el tiempo de internamiento efectivo (sin que las redenciones cuenten para el cumplimiento de la condena), lo cual choca contra el espíritu y la literalidad de la norma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el demandante de amparo en resaltar que ha sido el propio Tribunal Supremo el que, en numerosas ocasiones, se ha pronunciado a favor de la tesis de aplicación de los beneficios penitenciarios y redenciones sobre la pena resultante de la acumulación prevista en el art. 70.2 del Código penal de 1973, considerando lo contrario como una teoría gravemente innovadora que pugnaba con los más elementales postulados del derecho penal moderno y los fines rehabilitadores de la pena, para convertir el objeto de la misma en un fin punitivo y reivindicativo.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solicita el amparo constitucional por vulneración de la tutela judicial efectiva sin indefensión consagrado en el art. 24.1 CE en relación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la interpretación que hasta ahora se ha realizado de la aplicación de las redenciones sobre la condena resultante de la aplicación del art. 70.2 del Código penal de 1973 supone que la nueva interpretación de las mismas crea una situación de inseguridad jurídica y vulneración de la tutela judicial efectiva por cuanto se modifica la interpretación y los derechos que se derivaban de los Autos de aprobación de redención ordinaria y extraordinaria realizados por los Juzgados de Vigilancia Penitenciaria y Audiencias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solicita el amparo constitucional por vulneración del derecho a la tutela judicial efectiva en su vertiente de intangibilidad de las resoluciones judiciales firmes, en relación con los principios de legalidad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que las resoluciones judiciales impugnadas atrasan gravemente la fecha de licenciamiento definitivo del demandante de amparo y modifican el criterio derivado del Auto de 3 de febrero de 1997, que fijaba los criterios para la ejecución de la condena, como consecuencia de la concurrencia de la nueva y posterior interpretación sobre refundición de penas efectuada por la STS 197/2006, de 28 de febrero, de donde resulta una vulneración del derecho a la intangibilidad de las resoluciones judiciales firmes y de los principios de legalidad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solicita el amparo constitucional por vulneración del principio de legalidad consagrado en el art. 25.1 CE, en relación con el art. 9.3 CE, en cuanto a la aplicación con carácter retroactivo de una norma penal desfavorable, y con los arts. 7 del Convenio europeo para la protección de los derechos humanos y de las libertades fundamentales (CEDH) y 15 del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demandante de amparo que la resolución recurrida hace una interpretación que va contra el reo, lo cual está proscrito y vulnera los más elementales principios del derecho. Se vulnera el art. 25.1 en relación con el art. 9.3 CE cuando se hace una aplicación de una norma penal cuya entrada en vigor sea posterior al hecho enjuiciado y resulta imprevisible concluir que dicha norma era más beneficiosa para el acusado. Continua señalando que a esta conclusión se llega a partir del Voto particular formulado a la STS 197/2006, de 28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solicita el amparo constitucional por vulneración del derecho a la igualdad ante la ley (arts. 14 CE y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quinto motivo de la demanda de amparo se refiere, según se señala expresamente en la misma, a la proscripción de la arbitrariedad que derivaría del hecho de que un mismo órgano judicial dictara resoluciones que, sustancialmente similares en sus contenidos, se resolvieran de manera contraria en unos casos y en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demandante de amparo que el nuevo criterio establecido por el Tribunal Supremo en su Sentencia 197/2006, rompe con toda la jurisprudencia, pacífica en este extremo, existente hasta el momento, y establecida en innumerables resoluciones judiciales, algunas de las cuales se citan expresamente. Indica que no parece ajustado a los principios que rigen el derecho, que una norma jurídica que durante años ha sido aplicada a cientos de presos y presas de manera pacífica en un mismo sentido, justo en el momento en el que la aplicación de dicha norma se reduce a un número muy limitado de presos y presas sea modificada contra reo cuando no existen circunstancias sustanciales que justifiquen un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sexto lugar, solicita el amparo constitucional por vulneración del derecho a la libertad personal consagrado en el art. 17.1 CE en relación con los arts. 5 y 7.1 CEDH y 9.1,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demandante de amparo que este Tribunal ha dejado ya bien sentado, a través de numerosos pronunciamientos, que la cuestión de la aplicación o no, la procedencia o no de los beneficios penitenciarios de redención de penas por el trabajo, afecta directamente al derecho fundamental a la libertad personal (art. 17.1 CE), por cuanto incide de forma directa en el tiempo de privación de libertad del condenado a una pena de prisión. Sostiene que, sentada esta relación directa entre el derecho a redimir las penas de las personas presas y el derecho fundamental a la libertad, de confirmarse la vulneración a la tutela judicial efectiva anteriormente planteada, ello conllevaría también la vulneración del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técnica que pretende aplicar la STS 197/2006 vacía absolutamente de contenido la figura de la redención de penas por el trabajo, haciéndola inoperante y crea una suerte de “cumplimiento virtual” de la condena frente al cumplimiento efectivo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séptimo lugar, solicita el amparo constitucional por vulneración del art. 25.2 CE en relación con las “Reglas Mínimas para el tratamiento de los reclusos” elaboradas en el primer Congreso de las Naciones Unidas sobre prevención del delito y tratamiento del delincuente (Ginebra 1995) y 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demandante de amparo que el Código penal de 1973, así como la Ley Orgánica general penitenciaria de 26 de septiembre de 1979, y demás normas referentes al cumplimiento de las penas son normas que se realizan con el objeto de favorecer la rehabilitación del delincuente y cumplir así con los compromisos internacionales que el Estado español iba adquiriendo en la transición. Añade que todas estas normas siguen el principio que rige la Constitución Española de que las penas privativas de libertad y medidas de seguridad deben ir orientadas hacia la reeducación y reinserción profesional. Para el demandante de amparo la nueva interpretación que aplica el Tribunal Supremo priva en buena medida de su efecto práctico al beneficio de las redenciones, lo cual vulnera los principios inspiradores de las normas del Código penal y de la Ley Orgánica general penitenciaria en relación con el art. 25.2 CE y demás tratados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que se le otorgue el amparo y por medio de otrosí solicita [art. 56.1 de la Ley Orgánica del Tribunal Constitucional: (LOTC)] la suspensión de la ejecución de las resoluciones recurridas en la parte correspondiente a la aplicación de los seis años de condena que se ha retrasado su licenciamiento definitivo, pues la ejecución de las resoluciones impugnadas implica el cumplimiento de la pena privativa de libertad cuestionada, de manera que, ocasionaría el lógico perjuicio en modo alguno compensable, que haría perder al amparo, caso de otorgarse,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Constitucional, por providencia de 31 de marzo de 2011, admitió a trámite la demanda y, de conformidad con lo dispuesto en el art. 51 LOTC, acordó dirigir atenta comunicación a la Sala de lo Penal del Tribunal Supremo y a la Sección Segunda de la Sala de lo Penal de la Audiencia Nacional, a fin de que, en plazo que no excediera de diez días, remitiesen certificación o fotocopia adverada de las actuaciones correspondientes, respectivamente, al recurso de casación núm. 10634-2008 y a la ejecutoria núm. 69-1995, debiendo la Audiencia emplazar previamente a quienes hubieran sido parte en el procedimiento, a excepción del demandante de amparo, para que pudieran comparecer en el plazo de diez días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Constitucional por providencia de 31 de marzo de 2011 acordó formar la oportuna pieza para la tramitación del incidente sobre suspensión y conforme determina el art. 56 LOTC, concedió un plazo común de tres días a la parte recurrente y al Ministerio Fiscal para que alegaran lo que estimasen pertinente en relación con la petición de suspensión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su escrito de alegaciones presentado el 11 de abril de 2011, pidió que se denegara la suspensión solicitada, en atención al criterio seguido por este Tribunal en el ATC 206/2010, de 30 de diciembre, que resolvió una petición dimanante de un recurso sustancialmente igual al presente. La Sala Segunda del Tribunal, por Auto de 6 de junio de 2011,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por escrito presentado en el Registro General de este Tribunal el día 5 de diciembre de 2011 se solicitó la suspensión de la ejecución de la Sentencia del Tribunal Supremo 197/2006, de 28 de febrero, porque la misma está produciendo tal perjuicio al recurrente que hace perder al amparo su finalidad. La Sala Segunda de este Tribunal, por providencia de 31 de enero de 2012, acordó denegar la suspensión solicitada toda vez que la misma se refiere a una resolución judicial no recurrida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27 de septiembre de 2011, se acordó, de conformidad con lo dispuesto en el art. 52.1 LOTC, dar vista de las actuaciones, por plazo común de veinte días, al demandante y al Ministerio Fiscal, para que presentaran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de alegaciones mediante escrito registrado el 8 de noviembre de 2011, en el que solicita que se estime el recurso de amparo, por entender que se ha vulnerado el derecho a la ejecución de las resoluciones judiciales en sus propios términos (art. 24.1 CE), en relación con los principios de legalidad penal (art. 25.1 CE) y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por el análisis del séptimo y último de los motivos que se recogen en la demanda de amparo, centrado en la eventual vulneración del principio de legalidad penal recogido en el art. 25.2 CE y, más concretamente, en el enunciado del mismo que alude al carácter rehabilitador y de reinserción social que deben de tener las penas señaladas a los diferentes delitos previstos en el Código penal. Considera el Ministerio Fiscal que el motivo debe ser rechazado a limine porque, como reiteradamente ha destacado la doctrina de este Tribunal Constitucional, el art. 25.2 CE no contiene un derecho fundamental del ciudadano susceptible de ser invocado en amparo, sino más bien un mandato dirigido al legislador para orientar la política penal y penitenciaria con objeto de que configure las sanciones penales para que cumplan estos fines de reinserción y rehabilitación establecidos en la Constitución, sin que se deriven derechos subjetivos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señala el Ministerio Fiscal que tampoco tienen suficiente eficacia ni el motivo primero ni el cuarto centrados en la eventual vulneración del principio de legalidad penal conectado al de irretroactividad de las normas penales y restrictivas de derechos, puesto que, como ha señalado la doctrina de este Tribunal Constitucional, no es invocable en amparo a no ser que a través del mismo haya sido vulnerado alguno de los derechos fundamentales susceptibles de amparo. Afirma el Ministerio Fiscal que no corresponde al Tribunal Constitucional dilucidar, como acontece en el caso de autos, cuál de las posibles interpretaciones o criterios jurisprudenciales es el más adecuado a la norma en juego. A ello añade que el principio de legalidad en cuanto a la irretroactividad de la ley penal desfavorable al reo, se establece respecto de las leyes y no de las líneas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juicio del Ministerio Fiscal, debe ser también desestimada la vulneración del principio de igualdad en la aplicación de la ley que sostiene el demandante en su motivo quinto. Para el Ministerio Fiscal el motivo no puede prosperar, porque el órgano judicial que ha dictado una de las dos resoluciones que son objeto de este recurso, la Sección Segunda de la Sala de lo Penal de la Audiencia Nacional, es distinto de aquel, la Sala Segunda del Tribunal Supremo, que dictó la resolución cuya doctrina recogida en el mismo, supuestamente, ha generado la situación personal discriminatoria. La demanda no aporta resolución judicial alguna dictada por la Sección Segunda de la Sala de lo Penal de la Audiencia Nacional en la que se decidiera de manera diferente a la recurrida en amparo en supuestos sustancialmente idénticos, tal y como viene exigiendo la jurisprudencia del Tribunal Constitucional, y cita como ejemplo la STC 51/2005,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analiza el motivo tercero alegado por el recurrente en amparo en el que argumenta la vulneración del derecho a la intangibilidad de las resoluciones judiciales (art. 24.1 CE) en relación con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si estimamos que el Auto de 3 de febrero de 1997 que fijó los criterios para la ejecución de la condena operando una interpretación concreta de la normativa en juego, y muy particularmente de la refundición de condenas, se ha visto modificado posteriormente por el Auto de 25 de enero de 2008 en atención a una nueva interpretación emanada de una decisión de la Sala Segunda del Tribunal Supremo, ello comporta la vulneración del derecho a la intangibilidad de las resoluciones judiciales ex art. 24.1 CE, enumerado como tal en el cuarto de los motivos de amparo del presente recurso, y que además y de alguna manera se desprende cuando se argumenta el derecho a la tutela judicial efectiva. Para el Ministerio Fiscal que la Sala Segunda del Tribunal Supremo en su Auto de 5 de marzo de 2009 ratifique ese nuevo criterio haciendo caso omiso de la intangibilidad del Auto en que se fijó la refundición de condenas, extiende a dicha Sentencia la vulneración del derecho fundamental tutelado en el art. 24.1 CE. Un derecho fundamental que además, continúa afirmando el Ministerio Fiscal, tiene engarce con el principio de legalidad (art. 25.1 CE) en relación con la prohibición de retroactividad de las normas penales perjudiciales para el reo. A estas dos vulneraciones, señala el Ministerio Fiscal, debe conectarse y adicionarse la consecuencia inexcusable de ellas, la vulneración del derecho a la libertad personal (art. 17.1 CE), por cuanto en vez de obtener en la fecha prevista el licenciamiento definitivo lo sería en fecha muy posterior como consecuencia de esa nueva y desfavorable interpretación de la normativa en juego que las resoluciones judiciales efectuaron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motivo segundo de la demanda de amparo relativo a la vulneración del art. 24.1 en relación con el art. 17.1 CE argumentando indefensión, señala el Ministerio Fiscal que el motivo no puede prosperar, pues a su juicio tiene que ver más con otros motivos examinados en este escrito de alegaciones, como las supuestas vulneraciones del derecho a la igualdad (art. 14 CE) o la retroactividad en el concepto del principio de legalidad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en amparo no evacuó el trámite de alegaciones en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enero de 2012, el Pleno del Tribunal, de conformidad con lo establecido en el art. 10.1 n) LOTC y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marzo de 2012 se señaló para la deliberación y votación de la presente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Segunda del Tribunal Supremo de 5 de marzo de 2009, que declaró no haber lugar a la admisión del recurso de casación presentado contra el Auto de la Sección Segunda de la Sala de lo Penal de la Audiencia Nacional de 25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con mayor detalle en los antecedentes de esta resolución, el demandante de amparo fue condenado a diversas penas que, una vez acumuladas en virtud de lo dispuesto en el art. 70.2 del Código penal (CP) de 1973, dieron lugar a que la Sección Tercera de la Sala de lo Penal de la Audiencia Nacional fijara en treinta años de privación de libertad el tiempo total de cumplimiento de las mismas; aprobándose la correspondiente liquidación de condena, en la que se establecía como fecha de extinción el 22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demandante de amparo, los beneficios penitenciarios derivados de la redención de penas por el trabajo desde que inició el cumplimiento de la condena debieran calcularse sobre los mencionados treinta años, mientras que las resoluciones judiciales impugnadas aplican el criterio establecido por la Sala de lo Penal del Tribunal Supremo en su Sentencia 197/2006, de 28 de febrero, conforme a la cual el beneficio de la redención de penas por el trabajo reconocido en el art. 100 CP 1973 ha de aplicarse no a ese máximo de cumplimiento, sino a cada una de las penas impuestas en las diversas condenas, de modo que el cumplimiento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demandante de amparo que los Autos impugnados, en la medida en que aplican la mencionada doctrina, vulneran el principio de legalidad consagrado en el art. 25.1 y 2 CE en relación con el art. 9.3 CE, el derecho a la tutela judicial efectiva sin indefensión consagrado en el art. 24.1 CE en relación con el art. 17.1 CE, el derecho a la tutela judicial efectiva en su vertiente de intangibilidad de las resoluciones judiciales firmes, el principio de legalidad consagrado en el art. 25.1 CE, en relación con el art. 9.3 CE, el derecho a la igualdad ante la ley (art. 14 CE), el derecho a la libertad personal consagrado en el art. 17.1 CE y el derecho a que las penas estén orientadas a la reinserción social (art. 25.2 CE). Coincide parcialmente con este parecer el Ministerio Fiscal, el cual estima que se ha vulnerado el derecho a la ejecución de las resoluciones judiciales en sus propios términos (art. 24.1 CE), en relación con los principios de legalidad penal (art. 25.1 CE) y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denuncia en los motivos primero y cuarto de su demanda la supuesta vulneración del principio de legalidad penal, desde la doble perspectiva de la ilegitimidad del nuevo criterio interpretativo y la aplicación retroactiva de una ley desfavorable (art. 25.1 CE). En relación con esta petición, hemos de destacar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sin que de la interpretación sometida a nuestro enjuiciamiento se derive ni el cumplimiento de una pena mayor que la prevista en los tipos penales aplicados, ni la superación del máximo de cumplimiento legalmente previsto. El Tribunal Europeo de Derechos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caso Grava c. Italia (§ 51), en un supuesto referido a la condonación de la pena citando, mutatis mutandis, el caso Hogben c.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de las infracciones y sanciones (art. 25.1 CE) por aplicación retroactiva del art. 78 CP 1995, tanto en su redacción inicial como en la dada al mismo por la Ley Orgánica 7/2003. En dicho precepto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criterio que deviene obligatorio cuando se trata de penas especialmente graves aunque, no obstante, se prevean algunas excepciones que deberá valorar el Juez de vigilancia penitenciaria (art. 78.2 y 3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trabajo, puesto que dicha posibilidad desaparece en el Código penal de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era posible a la vista del tenor literal de los arts. 70.2 y 100 CP 1973 y 988 de la Ley de enjuiciamiento criminal (LECrim). Por tanto, teniendo en cuenta el razonamiento de los órganos judiciales y los preceptos que se aplican, la queja carece de base fáctica,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sí pueden ser cuestionados desde otras perspectivas. Una de ellas, alegada en la demanda de amparo, tiene que ver con el contenido del derecho a la igualdad en la aplicación de la ley (art. 14. CE). Sin embargo, tampoco desde esta perspectiva puede apreciarse en el presente caso la vulneración denunciada. Como señala el Ministerio Fiscal, la resolución dictada por la Sala de lo Penal de la Audiencia Nacional se limita a aplicar la doctrina sentada por otro órgano judicial, el Tribunal Supremo, máximo intérprete de la ley, justificando razonadamente el cambio de criterio sobre la forma de en el cómputo de las redenciones de penas por el trabajo en penas acumuladas, frente a otros supuestos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colige también, por razones atinentes al principio de legalidad, que el demandante no ha sido privado de su libertad personal en supuestos distintos de los establecidos en la ley penal, lo que descarta la alegada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queda reflejado en los antecedentes, el recurrente denuncia en los motivos segundo y tercero de su demanda la vulneración del derecho a la tutela judicial efectiva sin indefensión consagrado en el art. 24.1 CE en relación con el art. 17.1 CE, por cuanto se modifica la interpretación y los derechos que se derivaban de los Autos de aprobación de redención ordinaria y extraordinaria realizados por los Juzgados de Vigilancia Penitenciaria y Audiencias Provinciales, lo que a continuación se relaciona con la vulneración del derecho a la tutela judicial efectiva en su vertiente de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el razonamiento del recurrente por entender que el Auto mediante el que la Sala acordó acumular las diversas condenas impuestas al penado y fijar un límite máximo de cumplimiento, estableció las pautas para la ejecución de la condena, habiéndose visto modificado posteriormente con las resoluciones impugnadas en amparo, vulnerándose así el derecho del demandante a la intangibilidad de las resoluciones judiciales, que tiene engarce con el principio de legalidad (art. 25.1 CE) en relación con la prohibición de retroactividad de las normas penales perjudiciales para el reo (art. 9.3 CE). A estas dos vulneraciones, a juicio del Ministerio Fiscal, debe conectarse y adicionarse la consecuencia inexcusable de ellas, la vulneración del derecho a la libertad personal (art. 17.1 CE), por cuanto en vez de obtener en la fecha prevista el licenciamiento definitivo lo sería en fecha muy posterior como consecuencia de esa nueva y desfavorable interpretación de la normativa en juego que las resoluciones judiciales efectuaron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sino también cuando se desconoce lo resuelto por una Sentencia firme en el marco de procesos que examinan cuestiones que guardan con aquélla una relación de estricta dependencia, aunque no sea posible apreciar simultáneamente el mencionado efecto de cosa juzgada. Así se afirma, entre otras, en las SSTC 219/2000, de 18 de septiembre, FJ 5; 151/2001, de 2 de julio, FJ 3; 163/2003, de 29 de septiembre, FJ 4; 200/2003, de 10 de noviembre, FJ 2; 15/2006, de 16 de enero, FJ 4; y 231/2006, de 17 de julio, FJ 2. En tal sentido hemos dicho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Sentencia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el recurrente en las resoluciones judiciales que son objeto del presente recurso de amparo, al aplicar el nuevo criterio de cómputo de las redenciones a las penas impuestas, ha supuesto, como afirman el demandante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Zabarte Jainaga fue condenado en virtud de ocho Sentencias que se enumeran en los antecedentes de hecho de esta resolución a las penas que se detallan en sus respectivas partes dispositivas.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entrada en vigor del Código penal de 1995, a fin de determinar si su aplicación le era más favorable (art. 2.2), el Tribunal sentenciador recabó del centro penitenciario donde cumplía condena la certificación prevista en su disposición transitoria tercera. En ella se hace referencia a los beneficios penitenciarios que el penado había obtenido hasta ese momento y las fechas previstas de cumplimiento con cómputo y sin cómputo de tales beneficios penitenciarios. Contrastados tales datos con las penas previstas para los hechos en el nuevo Código penal, el Tribunal acordó, por Auto de 10 de julio de 1996, que no procedía revisar las penas impuestas al demandante con el siguiente razonamiento: “no se considera más favorable el nuevo Código cuando la duración de la pena anterior impuesta al hecho con sus circunstancias sea también imponible con arreglo al nuevo Código”, de lo que el Tribunal dedujo que “tampoco procederá la revisión cuando la antigua pena por aplicación de los beneficios penitenciarios del art. 100 del Código penal vigente y normas complementarias equivalga en términos de cumplimiento real a una pena que también sea imponible, es decir que se encuentre dentro del ámbito punitivo que establezca la nueva norma”, razón esta por la que acordó no haber lugar a la revisión dado que la pena impuesta conforme al Código penal de 1973 era también imponible conforme al nuevo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3 de febrero de 1997, la Sección Tercera de la Sala de lo Penal de la Audiencia Nacional acordó la acumulación de las condenas impuestas en todas las Sentencias señaladas, fijando en treinta años de privación de libertad el tiempo total de cumplimiento de las mismas, en aplicación de lo establecido en el art. 70.2 del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decisión, el Secretario Judicial de la Sala practicó el 7 de noviembre de 1997 la liquidación provisional de las condenas impuestas al demandante, según la cual, una vez descontado el tiempo que permaneció en prisión preventiva por dichas causas acumuladas, el demandante extinguiría sus condenas el 22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hay ninguna otra resolución judicial relevante del Tribunal sentenciador en la ejecutoria hasta que, mediante Auto de 25 de enero de 2008 que es objeto de esta pretensión de amparo, el Tribunal acordó ser de aplicación al demandante de amparo la doctrina establecida por el Tribunal Supremo en la Sentencia 197/2006, de 28 de febrero, a efectos de practicar la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ninguna de las resoluciones judiciales a las que aluden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los Autos de aprobación de redención de penas dictados por los Juzgados de Vigilancia Penitenciaria y Audiencias Provinciales a los que alude el demandante en el segundo motivo de amparo,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en amparo ignoren o pongan en cuestión la firmeza e intangibilidad de lo decidido en los Autos del Juzgado de Vigilancia Penitenciaria. La providencia que fijó la fecha de licenciamiento definitivo no dejó sin efecto dichas redenciones, sino que, en ejercicio de las competencias que legalmente tiene atribuidas el Tribunal sentenciador, las computó sucesivamente sobre las penas impuestas al recurrente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Auto de la Sección Tercera de la Sala de lo Penal de la Audiencia Nacional de 3 de febrero de 1997 de acumulación de condenas y fijación del límite máximo de cumplimiento, esta resolución se limita a hacer efectiva la previsión legal (arts. 988 LECrim y 70.2 CP 1973). No existe en él referencia alguna a la redención de penas por el trabajo o al criterio de cómputo de la misma, ni puede concluirse que dicho criterio sea relevante en modo alguno en la decisión de acumulación en su día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Auto de la Sección Segunda de la Sala de lo Penal de la Audiencia Nacional de 10 de julio de 1996 por el que se acordó no haber lugar a la revisión de las penas impuestas por considerar que, dados los hechos enjuiciados y las penas que la habían sido impuestas, no eran más favorables las previsiones punitivas del Código penal de 1995, es claro que ni en el fallo de esta resolución se realiza pronunciamiento alguno acerca del criterio de cómputo de las redenciones (porque no era su objeto), ni de su fundamentación jurídica puede concluirse que la decisión de no revisar las condenas se sustentara de manera clara en un determinado criterio de cómputo de las redenciones que resulte determinante o decisivo para considerar o no más favorable 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no existe vulneración del derecho a la tutela judicial efectiva en su vertiente de intangibilidad de las resoluciones judiciales firmes (art. 24.1 CE), ni, en consecuencia, vulneración del derecho a la libertad personal (art. 17.1 CE) por esta causa.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misma suerte desestimatoria debe seguir la queja plasmada en los motivos de amparo primero y séptimo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Félix Zabarte Jainaga.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núm. 4627-2009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decisión mayoritaria debo explicitar mi desacuerdo con los fundamentos y el fallo de la presente Sentencia, de la que he sido Ponente y es en esa condición en la que recojo en ella una opinión mayoritaria contraria a mi criterio. En cuanto a los motivos de mi desacuerdo me remito a la opinión discrepante que he dejado expresada en el recurso de amparo avocado núm. 7325-2006, donde razono mi convencimiento de que en este asunto se han vulnerado los derechos fundamentales reconocidos al recurrente por los arts. 17.1 y 25.1 CE, lo que debería haber llevado a este Tribunal a otorgar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Adela Asua Batarrita a la Sentencia dictada en el recurso de amparo núm. 4627-2009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emite el Magistrado don Luis Ignacio Ortega Álvarez con relación a la Sentencia dictada en el recurso de amparo avocado al Pleno núm. 4627-2009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fundamentos y el fallo del Auto cuya intangibilidad se analiza en esta Sentencia son de redacción idéntica a los examinados en el recurso de amparo avocado al Pleno núm. 7325-2006, sobre la que formulé Voto particular disidente, cuyo contenido interpretativo de la ratio decidendi del mismo, así como los criterios de convencimiento sobre la corrección de la interpretación de dicha ratio decidendi, son trasladables a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