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en la pieza separada tramitada en el recurso de amparo 5167-2013, promovido por don Pedro Ruiz Reguero.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18 de septiembre de 2013, don Pedro Ruiz Reguero, representado por la Procuradora de los Tribunales doña María Fuencisla Martínez Mínguez y asistido por el Letrado don Fernando Romón Sánchez, interpuso recurso de amparo contra el Auto de 18 de junio de 2013, dictado en el recurso de casación núm. 2606-2012 por la Sala de lo Civil del Tribunal Supremo, por el que se inadmitió el recurso de casación interpuesto contra la Sentencia de 12 de julio de 2012, dictada por la Sección Tercera de la Audiencia Provincial de Mérida, desestimatoria de la apelación interpuesta contra la Sentencia de 13 de febrero de 2012 dictada por el Juzgado de Primera Instancia e Instrucción de Mérida. La demanda de amparo solicita que se dicte Sentencia declarando que se ha vulnerado el derecho de la parte recurrente a la tutela judicial efectiva y anulando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fecha 28 de enero de 2014, y de conformidad a lo dispuesto en el art. 56 de la Ley Orgánica del Tribunal Constitucional (LOTC), el recurrente solicitó la suspensión de la resolución impugnada. Alegaba en síntesis que la no suspensión de las resoluciones recurridas, en cuanto que concedían un amplio régimen de visitas a los abuelos maternos, provocaría un grave perjuicio para sus hijos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fue admitida a trámite en providencia de la Sala Segunda de 13 de febrero de 2014, formándose la pieza de suspensión y, de conformidad con lo previsto en el art. 56 LOTC, se acordó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presentó escrito el 20 de febrero de 2014, en el que se ratifica en la petición de suspensión solicitada en su día, añadiendo que el demandante estaba siendo objeto de reiteradas denuncias por incumplimiento, y que el régimen de visitas y estancia no está siendo cumplido por los abuelos.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27 de febrero de 2014, el Ministerio Fiscal interesa que se dicte Auto denegando la suspensión de la resolución recurrida en la demanda de amparo alegando, en síntesis, que no hay suficientes datos que permitan concluir la conveniencia de una suspensión del régimen de visitas ni que su cumplimiento efectivo esté ocasionando un perjuicio de carácter personal y/o psicológico a los menores.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cautelar de suspensión consiste en determinar si procede acordar la suspensión de la ejecución de la resolución judicial recurrida que la parte recurrente concreta en la dictada por el Juzgado de Primera Instancia núm. 3 de Mérida, núm. 23-2012, de 13 de febrero, que después fue confirmada por Sentencia de 12 de julio de 2012 dictada por la Sección Tercera de la Audiencia Provincial de Badajoz.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del art. 56.2 LOTC, este Tribunal ha venido entendiendo que la suspensión se configura como una medida provisional de carácter excepcional y de aplicación restrictiva, dado el interés general en la efectividad de las decisiones de los poderes públicos, lo cual significa que se ha de apreciar la pérdida de la finalidad del recurso de amparo para que aquélla deba adoptarse necesariamente. El mismo art. 56.2 LOTC remite a un juicio motivado de ponderación en el que hay que confrontar, de un lado, el perjuicio que se causa al recurrente como consecuencia de la eficacia de la resolución recurrida y, de otro, el perjuicio que causa al interés público o a terceros la suspensión de la ejecución de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 relación a los casos como el presente en que puedan resultar afectados los intereses de menores,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(AATC 21/2002, de 25 de febrero, FJ 3; 273/2003, de 22 de julio, FJ 3, y 108/2005, de 14 de marzo, FJ 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examinado, el demandante de amparo alega que la ejecución del régimen de visitas con los abuelos causa un grave perjuicio para sus dos hijos menores de edad, aportando una nota manuscrita de su hija, sin fecha, y un informe emitido por una psicóloga. En el escrito de solicitud de la suspensión no se hace referencia a si el régimen de visitas se estaba cumpliendo efectivamente ni a los efectos que ello pudiera producir en los menores. Posteriormente, en el escrito de alegaciones de fecha 20 de febrero de 2014 se manifiesta que el régimen de visitas no está siendo cumplido por los abuelos.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no existen datos suficientes que permitan constatar la existencia de la aducida desestabilización de los menores derivada de la ejecución del régimen de visitas con los abuelos, puesto que, como alega el Ministerio Fiscal, no puede valorarse con certeza la actual situación de los menores a la vista de las actuaciones y por la falta de relación directa con las pruebas personales practicadas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tenerse en cuenta que el régimen de visitas fue adoptado por las instancias judiciales ponderando el interés de los menores, tras oírles, sin olvidar que se trata de medidas que son esencialmente modificables, de manera que el demandante cuenta con vías apropiadas en la jurisdicción ordinaria para instar la modificación o suspensión provisional del régimen de visitas si acredita que el mismo es perjudicial para el desarrollo evolutivo de los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ello resulta que no puede conectarse la protección de la finalidad de este recurso de amparo con mantener o no un determinado régimen de visitas, que podría ser modificado en sede de jurisdicción ordinaria, si varían las circunstancias, incluso durante la tramitación de este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en este momento procesal y sin prejuzgar el fondo del asunto, a denegar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en la pieza separada tramitada en el recurso de amparo 5167-2013, promovido por don Pedro Ruiz Reguero.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