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98</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abril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don Luis Ignacio Ortega Álvarez,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8128-2010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8128-2010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del recurso por la pérdida de objeto del amparo interpuesto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día 16 de noviembre de 2010, don Javier Cuevas Rivas, Procurador de los Tribunales y de don Iñigo Acaiturri Irazabal presentó demanda de amparo contra el Auto de 21 de septiembre de 2010 de la Sala de lo Penal del Tribunal Supremo que desestima recurso de casación frente al Auto de 26 de marzo de 2010 de la Sección Segunda de la Sala de lo Penal de la Audiencia Nacional por el que se aprobó el licenciamiento de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Acordada la admisión a trámite por la Sala Primera de este Tribunal mediante providencia de 26 de marzo de 2012, mediante diligencia de ordenación de 23 de octubre de 2013, se solicitó a la Audiencia Nacional que comunicara a este Tribunal cualquier resolución o incidencia procedimental que, a resulta de la STEDH de 21 de octubre de 2013, pudieran afectar a la situación del recurrente de amparo. Remitido por la Audiencia Nacional el Auto de 26 de noviembre de 2013 por el que se acordó la puesta en libertad de la recurrente, la Sala, por providencia de 16 de diciembre de 2013, acordó conceder un plazo de cinco días a las partes personadas para que, en virtud del art. 84 de la Ley Orgánica del Tribunal Constitucional, alegaran lo que estimaran conveniente sobre la perdida de objeto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presentó alegaciones mediante escrito registrado el 13 de enero de 2014, en el que consideró que existía pérdida sobrevenida de objeto del recurso de amparo al haberse producido, tras la admisión de la demanda, la reparación por la Audiencia Nacional de la lesión del derecho a la libertad del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de 7 de febrero de 2014 consideró que procede declarar la pérdida sobrevenida de objeto en el presente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nuestra reiterada doctrina (por todos, ATC 6/2013, de 14 de enero, que a su vez cita los AATC 43/1985, de 23 de enero; 243/2007, de 21 de mayo; 285/2008, de 22 de septiembre, y 287/2008, de 22 de septiembre), la desaparición sobrevenida del objeto es una de las formas de terminación del proceso constitucional iniciado por el recurso de amparo, cuando las circunstancias sobrevenidas con posterioridad a la presentación de la demanda hacen innecesario un pronunciamiento del Tribunal Constitucional al haberse modificado de manera sustancial la controversia.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“como hemos declarado reiteradamente —así, STC 118/2007, de 21 de mayo, FJ 2— la desaparición sobrevenida del objeto del proceso, aun cuando no contemplada expresamente en el art. 86.1 de la Ley Orgánica del Tribunal Constitucional (LOTC), ha sido admitida por este Tribunal como forma de terminación de los distintos procesos constitucionales. En particular y en lo que ahora importa, es lo que sucede en los casos en los que, en el procedimiento que dio origen al recurso de amparo, los propios órganos judiciales han reparado las lesiones del derecho invocado en sede constitucional, (SSTC 305/2000, de 11 de diciembre, FJ 9; 13/2005, de 31 de enero, FJ 2; y ATC 30/2004, de 9 de febrero, FJ 3). De modo que, en estos supuestos, la demanda de amparo deja de tener objeto, toda vez que la reparación de la lesión del derecho fundamental por los propios órganos judiciales, antes de que este Tribunal dicte su decisión, priva de sentido al pronunciamiento sobre una vulneración ya inexistente, salvo que, como también hemos afirmado, a pesar de haber desaparecido formalmente el acto lesivo, debieran tenerse en cuenta otros elementos de juicio que continuaran haciendo precisa nuestra respuesta (SSTC 84/2006, de 27 de mayo, FJ 2; y 128/2006, de 24 de abril, FJ 2).” (STC 133/2007, de 4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tales supuestos podemos recordar que, “constituyendo el recurso de amparo un remedio jurisdiccional idóneo únicamente para la reparación de lesiones singulares y efectivas de los derechos fundamentales, sin que puedan hacerse valer por medio de dicha vía otras pretensiones que las dirigidas al restablecimiento o la preservación de aquellos derechos (art. 41.3 LOTC), cuando ha desaparecido la causa origen del proceso de amparo (así, SSTC 40/1982, de 30 de junio, 32/1982, de 7 de junio, 151/1990, de 4 de octubre, 139/1992, de 13 de octubre, 57/1993, de 15 de febrero, 87/1996, de 21 de mayo, 257/2000, de 30 de octubre, y AATC 56/1983, de 16 de febrero, 287/1984, de 16 de mayo, 43/1985, de 23 de enero, 945/1985, de 19 de diciembre, 258/1992, de 14 de septiembre), no cabe sino concluir, en principio, que éste carece desde ese momento de objeto sobre el que deba pronunciarse este Tribunal (por todos, ATC 156/2003, de 19 de mayo, FJ 5).” (ATC 286/2006, de 24 de julio, FJ 2). En todo caso conviene advertir que es preciso excluir todo automatismo en la respuesta, por lo que habrá que atender a las circunstancias particulares que concurren en cada caso (STC 305/2000, de 11 de diciembre,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examen de los autos se desprende que por Auto de la Sección Segunda de la Sala de lo Penal de la Audiencia Nacional de 26 de noviembre de 2013 se resolvió hacer extensiva la aplicación de la STEDH de 21 de octubre de 2013, por la similitud existente con las pretensiones del demandante de amparo. Y en consecuencia tomar como referencia el tope máximo de treinta años, para, a partir de él, hacer los descuentos que correspondan por redenciones, y acordar la libertad del recurrente. En dicho Auto se acordó la inmediata puesta en libertad y se declararon extinguidas las responsabilidades penales.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reconocía que las redenciones debían ser abonadas del tope máximo de treinta años. Precisamente esa fue la pretensión que el demandante sostuvo en su recurso de amparo. Habiéndose reconocido como fecha de extinción de su condena el 15 de abril de 2010 y procedido a la puesta en libertad del demandante, de conformidad con lo dispuesto en los arts. 80 y 86.1 LOTC, en relación con el art. 22 de la Ley de enjuiciamiento civil, procede declarar la perdida de objeto del presente recurso, en tanto que la continuación del proceso no satisface ningún interés, al haberse dejado sin efecto el acto lesivo reconociéndose como fecha de extinción de su condena —como pretendía el demandante a lo largo del procedimiento previo al amparo y mantiene en el presente recurso— el 15 de abril de 2010, sin que conste que dicha resolución haya sido recurrida.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del recurso por la pérdida de objeto del amparo interpuesto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abril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