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1627-2014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del recurso de inconstitucionalidad interpuesto contra el Decreto-ley de la Junta de Andalucía 9/2013, de 17 de diciembre, por el que se articulan los procedimientos necesarios para la reapertura de la mina de Aznalcóllar.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17 de marzo de 2014 el Abogado del Estado, en nombre del Presidente del Gobierno, interpuso recurso de inconstitucionalidad contra el Decreto-ley de la Junta de Andalucía 9/2013, de 17 de diciembre, por el que se articulan los procedimientos necesarios para la reapertura de la mina de Aznalcóllar. El Abogado del Estado invocó el art. 161.2 CE en relación con el art. 30 de la Ley Orgánica del Tribunal Constitucional (LOTC), a fin de que se produzca la suspensión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28 de abril de 2014 el Abogado del Estado traslada a este Tribunal la certificación del acuerdo adoptado por el Consejo de Ministros, en sesión celebrada el 25 de abril de 2014, por el que se acordó solicitar del Presidente del Gobierno el desistimiento del recurso de inconstitucionalidad interpuesto contra el Decreto-ley de la Junta de Andalucía 9/2013, de 17 de diciembre, por el que se articulan los procedimientos necesarios para la reapertura de la mina de Aznalcóllar, y del acuerdo del Presidente del Gobierno de la misma fecha, solicitando que se tenga por desistido al Presidente del Gobierno en este recurso de inconstitucionalidad y, por este motivo, se acuerde la terminación del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advierta interés constitucional que justifique la prosecución del proceso hasta su finalización por Sentencia (por todos, ATC 40/2014,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debidamente autorizado para ello, pide que se le tenga por desistido del presente recurso de inconstitucionalidad y al no advertirse interés constitucional que justifique la prosecución del proceso hasta su finalización por Sentencia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del recurso de inconstitucionalidad interpuesto contra el Decreto-ley de la Junta de Andalucía 9/2013, de 17 de diciembre, por el que se articulan los procedimientos necesarios para la reapertura de la mina de Aznalcóllar.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