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1424-2014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1424-2014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1; 2.2 b), c) y d); 5.3; 5.5; 5.6; 5.7; 6.2; 7.2; 8; 12.2; 12.3; 12.4; 13; 14.1 a), b) y c); 14.2; 15.2 a), b), d), f), g) y h); 15.3; 17.1; 17.2; 18; 19.2 a) y c); título V, disposiciones adicional primera y transitoria primera de la Ley 3/2013, de 20 de mayo, de impulso y ordenación de las infraestructuras de telecomunicaciones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7 marzo de 2014, el Abogado del Estado, en representación del Presidente del Gobierno, interpuso recurso de inconstitucionalidad contra los arts. 1; 2.2 b), c) y d); 5.3; 5.5; 5.6; 5.7; 6.2; 7.2; 8; 12.2; 12.3; 12.4; 13; 14.1 a), b) y c); 14.2; 15.2 a), b), d), f), g) y h); 15.3; 17.1; 17.2; 18; 19.2 a) y c); título V, disposición adicional primera y disposición transitoria primera de la ley 3/2013, de 20 de mayo, de impulso y ordenación de las telecomunicaciones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en relación con el art. 30 de la Ley Orgánica del Tribunal Constitucional (LOTC), a fin de que se produjese la suspensión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por providencia de 8 de abril de 2014, acordó admitir a trámite el recurso de inconstitucionalidad, dar traslado de la demanda y documentos presentados, conforme establece el art. 34 LOTC, al Congreso de los Diputados y al Senado, así como a la Xunta de Galicia y al Parlamento de Galicia, por conducto de sus presidentes, al objeto de que en el plazo de quince días pudieran personarse en el proceso y formular las alegaciones que estimaren convenientes. Asimismo, se acordó tener por invocado el art. 161.2 CE, lo que, conforme dispone el art. 30 LOTC, produce la suspensión de la vigencia y aplicación de la Ley impugnada desde la fecha de interposición del recurso para las partes del proceso —7 de marzo de 2014— y desde el día en que aparezca publicada la suspensión en el “Boletín Oficial del Estado” para los terceros. Por último, también se ordenó publicar la incoación del recurso en el “Boletín Oficial del Estado” (publicación que tuvo lugar el 12 de abril de 2014) y en el “Diario Oficial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21 de abril de 2014, el Letrado de la Xunta de Galicia, en nombre y representación de la Xunta de Galicia, se personó en este proceso constitucional e interesó una prórroga del plazo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oficial mayor del Parlamento de Galicia, en nombre y representación de la Cámara, solicitó una prórroga del plazo para presentar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22 de abril de 2014 el Pleno del Tribunal acordó tener por personado al Letrado de la Xunta de Galicia y al Letrado oficial mayor del Parlamento de Galicia en nombre de la Xunta y del Parlamento de Galicia respectivamente y prorrogarles en ocho días más el plazo concedido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el Tribunal Constitucional el 23 de abril de 2014 el Presidente del Senado comunicó que la mesa de esa Cámara, en su reunión de 22 de abril de 2014, había acordado personarse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Congreso de los Diputados, a través del escrito registrado en este Tribunal el 25 de abril de 2014, comunicó que la Mesa de esa Cámara, en su reunión de 22 de abril, había acordado personarse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oficial mayor del Parlamento de Galicia, en la representación del Parlamento de Galicia, presentó su escrito de alegaciones el 16 de mayo de 2014, interesando la desestimación del presente recurso de inconstitucionalidad. También solicitó el levantamiento anticipado de la suspensión acordada en virtud de lo previsto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 la Xunta de Galicia, en nombre y representación de la misma, presentó su escrito de alegaciones el 21 de mayo de 2014, solicitando también la desestimación del recurso de inconstitucionalidad. De igual modo solicitó el levantamiento anticipado de la suspensión acordada en virtud de lo previsto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Pleno, por providencia de 22 de mayo de 2014, acordó incorporar a los autos los escritos de alegaciones que formulan los Letrados del Parlamento de Galicia y de la Xunta de Galicia, en representación de dicho Parlamento y Gobierno, y otorgó a las partes personadas —Abogado del Estado, Parlamento de Galicia y Xunta de Galicia— un plazo de cinco días para que expusieran lo que considerasen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por escrito registrado en este Tribunal el 2 de junio de 2014, formuló alegaciones y solicitó el mantenimiento de la suspensión de los preceptos impugnados en el presente recurso de inconstitucionalidad. Tras exponer la doctrina constitucional establecida en relación con los incidentes de suspensión pone de manifiesto que el mercado de las telecomunicaciones es un mercado de dimensión comunitaria donde las legislaciones de los distintos Estados están armonizadas y coordinadas para posibilitar el funcionamiento de un mercado único, eficiente, armónico y seguro. Por ello aduce que cualquier alteración o duplicación normativa que genere sobre el mercado fraccionamiento, duplicación, alteración o intervención, tendrá una relevancia directa sobre la calidad y coste del servicio. Se alega también que en el mercado de las telecomunicaciones el interés particular coincide con el de los operadores pues solo mediante el adecuado funcionamiento de este mercado el consumidor va a recibir un servicio de calidad al mínimo coste. Se pone de manifiesto, además, la importancia que tiene la seguridad jurídica para el correcto funcionamiento del mercado y que la existencia de dos regulaciones paralelas perturba su buen funcionamiento. A su juicio, este motivo sería suficiente para mantener la suspensión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afirma que en el mercado de las telecomunicaciones cada operador despliega su red o se sirve de las redes desplegadas por otros en las condiciones que libremente se acuerden y por ello considera que la igualdad en las condiciones de acceso a las redes es condición sine qua non para que el mercado funcione. De ahí que considere que las medidas que restrinjan, potencien, favorezcan, condicionen o limiten el acceso a las redes, por muy loables que sean están alterando el mercado y por ello entiende que la intervención de la Comunidad Autónoma en el despliegue de infraestructura es tan intensa que altera el mercado único de las telecomunicaciones. Según el Abogado del Estado, la Ley gallega, al imponer determinadas obligaciones a los operadores o permitir que la comunidad autónoma se las pueda imponer, quiebra por completo el mercado, pues altera los cálculos de inversión en infraestructuras y en prestación de servicios de los operadores.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también el representante del Gobierno de la Nación que la Ley impugnada impone determinadas obligaciones de acceso al por mayor de los operadores que altera el mercado. Esta alteración del funcionamiento del mercado se produce también como consecuencia de la regulación que establece la Ley impugnada de la coubicación, pues considera que esta norma restringe severamente la libertad de los operadores para la adopción de acuerdos sobre ubicación y les impone una solución externa que, además, no se ajusta a criterios que se encuentren precisados en la ley, lo que crea incertidumbre, y la inseguridad que produce altera, en su opinión, irreparablemente las reglas del mercado. También considera que altera las reglas del mercado la mera posibilidad de que la regulación impugnada pueda alterar la neutralidad tecnológica, pues la mera posibilidad de que la Comunidad Autónoma con esta Ley pueda inclinarse hacia la imposición, promoción, desincentivación o elección de una determinada tecnología puede dar lugar a una alteración del funcionamiento del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alude, por último, al régimen sancionador. El Abogado del Estado entiende que la coexistencia de dos regímenes sancionadores puede quebrar la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aporta un informe de la Dirección General de Telecomunicaciones y Tecnologías de la Información sobre los perjuicios que podrían irrogarse como consecuencia del levantamiento de la suspensión de la Ley impugnada en este proceso de inconstitucionalidad. Los perjuicios que según este informe podrían ocasionarse son los mismos que los que el Abogado del Estado aduce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Letrado de la Xunta de Galicia expone, en primer lugar, la doctrina constitucional establecida en relación con este tipo de incidentes. Aduce también que el mantenimiento de la suspensión no puede fundamentarse en la libertad de mercado y en la ausencia de intervención pública en este ámbito, pues en Galicia, dada su elevada dispersión poblacional —el 90 por 100 de sus núcleos urbanos tienen menos de 100 habitantes— y su compleja orografía justifican una regulación en materia de ordenación del territorio que pueda crear unas condiciones mejores para los operadores y que, además, va a garantizar que el establecimiento de estas infraestructuras se efectúe de forma ordenada y eficiente minimizando el impacto ambiental, visual y urbanístico que puede llevar su implantación en el territorio. Efectuadas estas consideraciones generales el Letrado de la Xunta analiza cada uno de los preceptos impugnados y justifica que la eficacia de los mismos no puede ocasionar daños o perjuicios irreparables y por ello solicita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Letrado oficial mayor del Parlamento Gallego presentó su escrito de alegaciones el 5 de junio de 2014. Comienza su escrito exponiendo la doctrina constitucional establecida en esta materia. También pone de manifiesto que la presunción de constitucionalidad de la Ley impugnada, en cuanto expresión de la voluntad popular, exige que solo pueda acordarse el mantenimiento de la suspensión si el Abogado del Estado justifica que la eficacia de la norma ocasiona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por otra parte, que el mantenimiento de la suspensión hasta que se adopte la decisión de fondo impediría a la Comunidad Autónoma de Galicia ejercer sus competencias. En concreto alude a las competencias que, de acuerdo con las bases y ordenación de la actuación económica general y la política económica del Estado, y con respeto de lo dispuesto en los art. 38, 131, 149.1.11 y 13 CE, le corresponden a Galicia en virtud de lo establecido en el art. 30.I.1 del Estatuto de Autonomía para Galicia (EAG), en materia de fomento y planificación de la actividad económica de esta Comunidad Autónoma; a las competencias asumidas en materia de urbanismo (27.3 EAG) y la competencia compartida con el Estado en materia de sanidad (art. 33.1 EAG) y medio ambiente (art. 27.30 EAG)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Efectuadas estas consideraciones generales el Letrado del Parlamento gallego analiza cada uno de los preceptos impugnados y expone las razones por las que considera que debe levantarse la suspensión de la eficacia.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eficacia de los arts. 1; 2.2 b), c) y d); 5.3; 5.5; 5.6; 5.7; 6.2; 7.2; 8; 12.2; 12.3; 12.4; 13; 14.1 a), b) y c); 14.2; 15.2 a), b), d), f), g) y h); 15.3; 17.1; 17.2; 18; 19.2 a) y c); título V, disposición adicional primera y disposición transitoria primera de la ley 3/2013, de 20 de mayo, de impulso y ordenación de las telecomunicaciones de Galicia, que se encuentran suspendidos en su aplicación como consecuencia de la invocación del art. 161.2 CE en el recurso de inconstitucionalidad promovido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reiterada de este Tribunal para decidir acerca del mantenimiento o levantamiento de la suspensión es necesario, como declara entre otros muchos el ATC 157/2013, de 11 de julio, FJ 2,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como declara el citado ATC 157/2013 “lo que en este incidente se trata es de dilucidar si los perjuicios que han sido alegados por el Abogado del Estado, tienen la gravedad y consistencia necesarias como para prevalecer sobre la presunción de legitimidad de la Ley vasca y los intereses que se vinculan a su aplicación efectiva”. Por ello, como reiteradamente ha afirmado este Tribunal (entre otros muchos, ATC 114/2014, de 8 de abril)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75/2010, de 30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expuesto en los antecedentes, el Abogado del Estado considera que los preceptos impugnados pueden alterar el correcto funcionamiento del mercado de las telecomunicaciones. Se aduce, en primer lugar, que este mercado, al tener una dimensión comunitaria, exige que las legislaciones de los distintos Estados estén armonizadas y coordinadas y por ello considera que la mera existencia de una duplicación normativa va a incidir desfavorablemente en el mercado de las telecomunicaciones. A su juicio, la simple existencia de dos regulaciones diferentes contradice las exigencias de seguridad jurídica, principio que, en su opinión, es esencial en el mercado de las telecomunicaciones y por ello considera que este motivo sería suficiente para mantener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alegación no puede prosperar. Como ha declarado reiteradamente este Tribunal,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(ATC 60/2013, de 26 de febrero, FJ 5). De ahí que, en contra de lo que sostiene el Abogado del Estado, la mera existencia de dos regulaciones diferentes no puede justificar el mantenimiento de la suspensión, si no se pone de manifiesto qué perjuicios de imposible o difícil reparación pueden producirse como consecuencia de esa duplicidad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aduce también que la eficacia de la regulación impugnada otorgaría a la Administración autonómica un papel relevante en el despliegue de las infraestructuras. Por otra parte sostiene que esta regulación conlleva el establecimiento de una serie de obligaciones que afectan al acceso y a la prestación del servicio, por lo que la eficacia de los preceptos impugnados supondría que en Galicia los operadores de telecomunicaciones tendrían unas condiciones más gravosas que en el resto del Estado. Alega además que la regulación que contiene la Ley impugnada sobre el uso compartido de las infraestructuras restringe la libertad de los operadores para la adopción de acuerdos sobre coubicación y les impone una solución externa sujeta a criterios que no se encuentran precisados en la Ley y también considera que la sola posibilidad de que la Comunidad Autónoma pueda favorecer una determinada tecnología puede tener una influencia decisiva en el mercado. De todo ello concluye que la eficacia de los preceptos impugnados puede conllevar una quiebra del mercado de las telecomunicaciones.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Ninguna de las razones expuestas pone de manifiesto que la eficacia de los preceptos impugnados puede ocasionar perjuicios de imposible o difícil reparación. El Abogado del Estado se limita a alegar, de modo genérico, sin efectuar un análisis pormenorizado de cada uno de los artículos impugnados, que el levantamiento de la suspensión de los preceptos recurridos puede conllevar una alteración del funcionamiento del mercado pero en modo alguno argumenta que tal alteración pueda ocasionar unos perjuicios irreparables ni al interés general ni al interés de los particulares afectados. Y este mismo reproche ha de hacerse al informe elaborado por la Dirección General de telecomunicaciones y tecnologías de la información, pues aunque en este informe se alude a las alteraciones en la libre competencia que, según se sostiene, puede ocasionar la vigencia de los preceptos recurridos, no se expone, en cambio, los perjuicios concretos que tales alteraciones pueden ocasionar en el mercado de las telecomunicaciones. En este informe, aunque se alude a los perjuicios que la eficacia de los preceptos impugnados pueden originar, se analiza esta cuestión desde una perspectiva abstracta —la perturbación que las medidas previstas en los mismos puede ocasionar en el funcionamiento del mercado de las telecomunicaciones—, pero no se razona suficientemente, a partir de las situaciones concretas que podrían producirse, sobre los perjuicios irreparables que puede ocasionar el levantamiento la suspensión de cada uno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los perjuicios aludidos, de producirse, al tener los mismos su origen en medidas que, según se aduce, son restrictivas de la libre competencia, afectarían directamente a los operadores y solo indirectamente a los usuarios. De ahí que en relación con los daños que las previsiones legales impugnadas pudieran ocasionar a los operadores, al tratarse de daños económicos, si tales daños se produjeran podrían ser indemnizados (entre otros muchos, ATC 175/2002, de 1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daños que la eficacia de los preceptos impugnados puede causar a los usuarios, al no haber concretado el Abogado del Estado qué perjuicios irreparables puede originar en el normal funcionamiento del mercado la eficacia de los mismos, que es, según ha sostenido reiteradamente este Tribunal, a quien le incumbe la carga de acreditarlos o, al menos de argumentar suficientemente su existencia, no procede acceder por estos motivos al mantenimiento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puede justificar el mantenimiento de la suspensión que algunos de los preceptos impugnados, los previstos en el título V de la Ley recurrida, establezcan un régimen sancionador. Como se ha afirmado, de acuerdo con la doctrina de este Tribunal, la existencia de dos normativas diferentes, una estatal y otra autonómica, no puede fundamentar el mantenimiento de la suspensión si no se pone de manifiesto qué perjuicios de imposible o difícil reparación pueden producirse como consecuencia de esa duplicidad normativa; doctrina que se ha considerado aplicable también a los supuestos en los que estas normativas establecían un régimen sancionador (entre otros muchos, ATC 247/2008, de 24 de julio, FJ 7). En el presente caso el Abogado del Estado no cumple esta exigencia, pues se limita a aducir que la existencia del régimen sancionador previsto en la Ley impugnada quiebra “por completo el mercado”, pero no argumenta por qué el régimen sancionador previsto en el título V de la Ley 3/2003 produce este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al no haberse acreditado, ni siquiera argumentado consistentemente, los perjuicios de imposible o difícil reparación que se producirían como consecuencia de la eficacia de los preceptos legales impugnados, la presunción de constitucionalidad de la Ley determina que deba levantarse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1; 2.2 b), c) y d); 5.3; 5.5; 5.6; 5.7; 6.2; 7.2; 8; 12.2; 12.3; 12.4; 13; 14.1 a), b) y c); 14.2; 15.2 a), b), d), f), g) y h); 15.3; 17.1; 17.2; 18; 19.2 a) y c); título V, disposiciones adicional primera y transitoria primera de la Ley 3/2013, de 20 de mayo, de impulso y ordenación de las infraestructuras de telecomunicaciones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