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2443-2015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2443-2015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28 de abril de 2015, el Procurador de los Tribunales don Ignacio Melchor de Oruña, en nombre y representación de don Ignacio Berenguer Sánchez y don Ángel Berenguer Sánchez, interpuso demanda de amparo contra la Sentencia núm. 147/2015, de 17 de marzo, de la Sala de lo Penal del Tribunal Supremo, que estimó el recurso de casación formalizado por el Ministerio Fiscal, por infracción de ley y de precepto constitucional, contra la Sentencia de 11 de abril de 2014 de la Sección Quinta de la Audiencia Provincial de Madrid, en causa rollo núm. 16-2012 seguida por delito contra la salud pública, y declaró, en su virtud, la nulidad de la mencionada Sentencia con retroacción de las actuaciones a la fase de deliberación subsiguiente a la celebración del juicio, para que, por los mismos Magistrados que la dictaron, se delibere y redacte una nueva, partiendo de la regularidad de la cadena de custodia y de la validez de los informes periciales analíticos emitidos sobre las distintas sustancias incautadas, en contra de lo que apreció en su momento la Sección Quinta de la Audiencia Provincial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aducen que la Sentencia impugnada en amparo lesiona el derecho a la tutela judicial efectiva en relación con el principio de inmediación y el carácter público del proceso y el derecho a la presunción de inocencia (art. 24.2 CE), pues existieron en la cadena de custodia irregularidades relevantes, sin que haya quedado acreditado que la sustancia enviada al laboratorio para su análisis fuera la incautada, más aún si se tiene en cuenta la falta de ratificación del atestado policial en el plenario.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la demanda de amparo solicita la suspensión de la ejecución de la Sentencia de 17 de marzo de 2015, ya que lo contrario implicaría la continuación del procedimiento ante la Sección Quinta de la Audiencia Provincial de Madrid creando “una desmesurada litigiosidad y perjuicio a los mandantes”.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30 de noviembre de 2015, la Sección Cuarta de este Tribunal acordó admitir a trámite el recurso de amparo. Por providencia de la misma fecha la Sección acordó formar la oportuna pieza para la tramitación del incidente de suspensión y, conforme a lo dispuesto en el art. 56 de la Ley Orgánica del Tribunal Constitucional,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4 de diciembre de 2015, los recurrentes presentaron en el Registro General de este Tribunal su escrito de alegaciones. Sostienen que una eventual condena produciría un daño irreparable, dada la duración de las penas privativas de libertad previstas para el delito por el que son acusados, resultando que, por el contrario, la suspensión solicitada no ocasiona lesión específica y grave de los intereses generales ni de los derechos fundamentales o libertades públicas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día 17 de diciembre de 2015, el Ministerio Fiscal presentó su escrito de alegaciones, oponiéndose a la suspensión solicitada. Destaca que la Sentencia de 17 de marzo de 2015, dictada por la Sala de lo Penal del Tribunal Supremo, no impone ninguna pena, “limitándose a acordar la nulidad del procedimiento y su retroacción al momento en que la Audiencia Provincial de Madrid dictó sentencia, que lo fue absolutoria”. En consecuencia, concluye, no puede hablarse “de que la situación actual pueda provocar un daño irreparable a los recurrentes”.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esta previsión legal, el Tribunal ha declarado que cuando el amparo constitucional se solicita respecto de resoluciones judiciales firmes, la suspensión de su ejecución entraña en sí misma una perturbación de la función jurisdiccional que comprende la potestad de hacer ejecutar lo juzgado (art. 117.3 CE), por lo que esta medida cautelar resulta pertinente únicamente si la ejecución del fallo causa al solicitante de amparo un perjuicio irreparable, debiendo entenderse por tal aquel que provoque que el restablecimiento del recurrente en los derechos fundamentales cuya vulneración denuncia sea tardío e impida definitivamente que la restauración sea efectiva (por citar el más reciente, ATC 117/2015, de 6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este Tribunal ha establecido que la acreditación del perjuicio es carga del recurrente, quien debe precisar los concretos perjuicios que de la ejecución se deriven,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(por ejemplo, ATC 95/2015, de 25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se solicita la suspensión de la ejecución de una sentencia que retrotrae las actuaciones a la fase de deliberación subsiguiente a la celebración del juicio ante la Sección Quinta de la Audiencia Provincial de Madrid, para que se dicte nueva sentencia partiendo de la regularidad de la cadena de custodia y de la validez de los informes analíticos emitidos sobre las diferentes sustancias incautadas, en contra de lo que dispuso la Sentencia de 11 de abril de 2014, en causa rollo núm. 16-2012 seguida por delito contra la salud pública, anulada por el pronunciamiento judicial que ahora se impugna.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ello, como afirma con rigor el Ministerio Fiscal, no sólo no existe pena alguna que haya sido impuesta en esta fecha, sino que ni siquiera cabe presumir que la decisión final del proceso sea condenatoria, toda vez que la Audiencia Provincial deberá decidir a la vista de la valoración conjunta de todo el acervo probatorio, partiendo, claro es, de que no hubo ruptura de la cadena de custodia, como ha establecido la Sentencia de la Sala Segunda del Alto Tribunal. En esas circunstancias, con independencia de lo que deba decirse en nuestra Sentencia sobre las quejas formuladas, no se advierte aquí qué concretos perjuicios podría acarrear la ejecución de la Sentencia del Tribunal Supremo, con la continuidad necesaria del procedimiento, ni tampoco, por lo tanto, la irreparabilidad de los mismos, pues no puede aceptarse que una eventual condena futura a los recurrentes —que de darse sería el resultado del propio enjuiciamiento— constituya en sí misma considerada un perjuicio irreparable y real que deba evitarse en esta fase, al resultar, antes bien, un efecto solo potencial y futuro y una hipótesis, en realidad, expresiva de un temor de los recurrentes que no hace perder al amparo su finalidad y que no impide definitivamente, si procediera, que la restauración de sus derechos fundamentales pueda ser efectiva.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