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15 de noviembre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doña Adela Asua Batarrita, don Andrés Ollero Tassara, don Fernando Valdés Dal-Ré, don Juan José González Rivas, don Santiago Martínez-Vares García, don Juan Antonio Xiol Ríos,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5261-2011, promovido por la Generalitat de Cataluña y, en su representación y defensa, por el Letrado de la misma, en relación con los artículos 5, apartados 1,2, y 4; 6, apartados 3 y 4; 8, apartado 6 segundo párrafo; 9, apartados 6 y 7; 10, apartados 4, 6 y 7; 11, apartados 1,2 y 6; 13; 15, apartados 1, 2, 3, 4, 5 y 7; 19, apartados 2 y 3; 23; 24, apartados 1,2,3 y 4; 25; 26, apartados 1, 3, 4 y 5; 27, apartado 1; 38, apartado 1; disposición adicional tercera, apartado 5; así como la atribución del carácter básico a los citados preceptos en la disposición final undécima, de la Ley 40/2010, de 29 de diciembre, de almacenamiento geológico de dióxido de carbono. Ha comparecido y formulado alegaciones el Abogado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29 de septiembre de 2011 tuvo entrada en el Registro General de este Tribunal Constitucional, escrito del Letrado de la Generalitat de Cataluña, por el que, en nombre y representación de la misma, interpone recurso de inconstitucionalidad en relación con los artículos 5, apartados 1,2, y 4; 6, apartados 3 y 4; 8, apartado 6, segundo párrafo; 9, apartados 6 y 7; 10, apartados 4, 6 y 7; 11, apartados 1,2 y 6; 13; 15, apartados 1, 2, 3, 4, 5 y 7; 19, apartados 2 y 3; 23; 24, apartados 1, 2, 3 y 4; 25; 26, apartados 1, 3, 4 y 5, 27, apartado 1; 38, apartado 1; disposición adicional tercera, apartado 5; así como la atribución del carácter básico a los citados preceptos en la disposición final undécima, de la Ley 40/2010, de 29 de diciembre, de almacenamiento geológico de dióxido de carbono.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demanda se refiere en primer término, al seguimiento del procedimiento previsto en el art. 33.2 de la Ley Orgánica del Tribunal Constitucional (LOTC), al objeto de resolver las discrepancias suscitadas en relación con los artículos 5, 6, 11, 13, 15, 19, 23, 26, 27, la disposición final undécima y su proyección en otros preceptos conexos de la Ley 40/2010, de 29 de diciembre, de almacenamiento geológico de dióxido de carbono, indicando que en el “BOE” y “DOGC” de 7 de junio de 2011 se publicó el acuerdo de la Comisión Bilateral de Cooperación Administración General del Estado-Comunidad Autónoma de Cataluña. Y dado que en el seno de dicho órgano no se llegó a un acuerdo, el Gobierno de la Generalitat de Cataluña ha procedido a la formalización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Generalitat examina a continuación el contenido de la Ley 40/2010, afirmando que la norma se inscribe en el marco de la acción comunitaria en materia de medio ambiente, al trasponer la Directiva (Directiva 2009/31/CE, del Parlamento Europeo y del Consejo, de 23 de abril de 2009). Dicha Directiva tiene por objeto el establecimiento de un marco jurídico para el almacenamiento geológico, en condiciones seguras para el medio ambiente, de dióxido de carbono (CO2) para contribuir a la lucha contra el cambio climático, mediante una técnica innovadora, cuya introducción en España debe realizarse de modo acorde con el reparto competencial constitucionalmente establecido, correspondiéndole a las Comunidades Autónomas las funciones de naturaleza ejecutiva correlativas al ejercicio por el Estado de su competencia para dictar la legislación básica en materia de protección del medio ambiente (art. 149.1.23 CE), establecer las bases y coordinación de la planificación general de la actividad económica (art. 149.1.13 CE), así como las bases sobre el régimen minero y energético (art. 149.1.25 CE), tal y como resulta de los arts. 144.1, 152.2 y 133.4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Letrado, el sistema diseñado por la Ley se aparta de este criterio constitucional al reservar a órganos de la Administración del Estado la realización de las principales y más significativas funciones de naturaleza ejecutiva, desplazando a los órganos competentes de la Generalitat de Cataluña. A los efectos de exponer la argumentación impugnatoria agrupa los preceptos cuestionados en tres bloques correspondientes a cada uno de los títulos competenciales mencionados, en la disposición final undécima de la Ley 40/2010 (arts. 149.1.13, 23 y 25 CE), adelantando que el título competencial relativo a la materia del medio ambiente (art. 149.1.23 CE) es el preeminente.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examina la reserva estatal de funciones ejecutivas al amparo del art. 149.1.13 CE, en orden a centralizar la competencia para el otorgamiento de funciones ejecutivas antes y después del otorgamiento de las concesiones de almacenamiento de CO2. Con cita de la doctrina constitucional aborda el contenido de la competencia estatal del artículo 149.1.3 CE, así como la necesidad de su interpretación restrictiva para evitar el vaciamiento de competencias autonómicas, siendo aceptable constitucionalmente su aplicación tan solo en los casos de incidencia directa y significativa sobre la actividad económica general, exigiéndose una justificación clara y concluyente a tal fin. En este punto considera que el preámbulo de la Ley 40/2010, pretende la justificación como título habilitante del art. 149.1.13 CE, con base a criterios ambiguos basados en probabilidades de futuro, haciendo uso de argumentos especulativos como el carácter estratégico de los almacenamientos para la economía del Estado, que no permiten justificar la incidencia directa y significativa sobre la economía general. Por lo que concluye este primer bloque argumental afirmando la ausencia de cobertura habilitante del artículo 149.1.13, respecto de artículos 10, apartados 4, 6 y 7; 11, apartados 2 y 6; 13; 15, apartados 1, 2, 3, 4, 5 y 7; 24, apartados 1, 2, 3 y 4 y 25 que contemplan trámites administrativos previos y posteriores al otorgamiento de la concesión de almacenamiento de CO2, que debieran corresponder a los órganos competentes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argumenta que el artículo 149.1.25 CE (bases del régimen minero y energético), no puede amparar las funciones ejecutivas que se contemplan en los artículos. 6, apartados 3 y 4; 8, apartado 6 segundo párrafo; 9, apartados 6 y 7; 26, apartados 1, 3, 4 y 5 y 27, apartado 1, relacionadas con el acceso de terceros a las redes y con la solución de los conflictos que puedan generarse. A tal fin, expone el contenido de la competencia estatal contemplada en el artículo 149.1.25 CE a la luz de la doctrina constitucional, en relación con la competencia en materia de energía y minas (artículo 133.1 y 4 EAC). Reconoce que el régimen de acceso a las redes de transporte y a los lugares de almacenamiento de CO2, se sitúa dentro de las materias del régimen minero y energético, ahora bien, la asunción por parte del Estado de competencias ejecutivas, como la función de resolución de conflictos (artículo 27.1), o la función para adoptar medias de garantía del acceso a las redes (artículo 26.1), o para la realización de mejoras (artículo 26.5), e inclusive la remisión en blanco al Ministerio de Industria, Turismo y Comercio, de la determinación del régimen retributivo del acceso a las redes (artículo 26.3, segundo inciso), carecen de justificación, exceden del concepto de bases y suponen una vulneración del orden de distribución de competencias. Examina, también en este bloque, los artículos 6, apartados 3 y 4; 8, apartado 6; y 9, apartados 6 y 7, remitiéndose a su examen más adelante, pero indicando que es la Comunidad Autónoma la que dispone de un mejor y más fundado conocimiento de cuál es la explotación de mayor interés para la resolución de los conflictos, afirmando que el resultado sobre los trabajos de investigación deben recibirse por la administración otorgante.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tercer bloque argumental examina la reserva estatal de funciones ejecutivas al amparo del artículo 149.1.23 CE, por el que se atribuye al Estado competencia para la legislación básica sobre la protección del medio ambiente, sin perjuicio de las facultades de las Comunidades Autónomas de establecer normas adicionales de protección (art. 144.1 EAC). Expone la doctrina constitucional sobre el concepto de bases, en su doble dimensión: material y formal, así como de los requisitos que deben concurrir para que quede justificado el carácter básico de las funciones ejecutivas. Señala a continuación que los arts. 11,13 y 15 de la Ley, deben encuadrarse en la materia de medio ambiente, en atención al contenido y finalidad de la regulación, y que la concesión de almacenamiento, todo el procedimiento que la regula, incluyendo su hipotética revocación, es una técnica administrativa que permite alcanzar el objetivo del almacenamiento en condiciones seguras para el medio ambiente, integrando un acto típico de ejecución, por lo que no está justificado que el Estado le haya atribuido carácter básico, máxime al tratarse de actos meramente aplicativos y notablemente reglados. Observa en dicho sentido que el artículo 5.3 a), desarrollado por el artículo 8 de la misma Ley, atribuye a las Comunidades Autónomas una función importante en el sistema de almacenamiento como es el otorgamiento de los permisos de investigación, de los que en buena medida puede depender el otorgamiento de la propia concesión. Ni tan siquiera en el hipotético caso de que la atribución del otorgamiento de la concesión pudiera provocar algún tipo de dificultad o disfunción, se justificaría eludir el orden de reparto competencial. Extiende la inconstitucionalidad por conexión con los mencionados preceptos al artículo 10, apartados 4, 6 y 7 de la Ley, al atribuir al Ministerio de Industria, Turismo y Comercio, como competente para otorgar la concesión, la facultad de informar a los demás departamentos ministeriales y administraciones públicas sobre la solicitud de la concesión y su prórroga. Argumento que también es de aplicación al apartado 6 del artículo 11 de la Ley en cuanto atribuye al Instituto Geológico y Minero de España la facultad de informar de forma preceptiva sobre la solicitud de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respecto del artículos 19, apartados 2 y 3; 23; 5, en sus apartados 1,2, y 4; 24, apartados 1,2,3 y 4; 25; atribuyen también al Estado funciones ejecutivas y de gestión que vulneran el orden competencial de los arts. 149.1.23 CE y 144.1 h) EAC, por las mismas razones anteriormente expuestas. Por último, cierra este bloque argumental indicando que en esta misma infracción constitucional incurre el art. 38, en su apartado 1, que centraliza en el Estado competencias ejecutivas de carácter sancionador que son instrumentales de las competencias sustantivas relativas al otorgamiento de los permisos y de las concesiones.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recurso con el examen de los permisos de investigación que afecten al ámbito territorial superior al de una comunidad autónoma o al subsuelo marino, indicando que en tanto que la competencia del artículo 5.1 a) de la Ley, a la vista del artículo 149.1.23 CE, no prevé una delimitación territorial específica de esta competencia, el Estado no puede atribuirse el otorgamiento del permiso de investigación en el caso de que se extienda sobre el territorio de más de una Comunidad Autónoma, debiendo agotarse las fórmulas de cooperación y coordinación. Por lo que dicho precepto, en lo que se refiere al otorgamiento de permisos de investigación que afecten al ámbito territorial de más de una Comunidad Autónoma, vulnera el orden competencial por ser contrario a los artículos 149.1.23 CE y 115 y 144.1 EAC. Finalmente considera el artículo 5.1 a), 5.1 i), 5.4 y la disposición adicional tercera apartado 5, de la Ley, en cuanto se refieren al subsuelo marino, también son contrarios a los artículos 149.1.23 CE y 144.1 h) EAC, al atribuir funciones, que por su carácter ejecutivo le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por providencia de 18 de octubre de 2011, admitió a trámite el presente recurso de inconstitucionalidad, acordando dar traslado de la demanda y documentos presentados, conforme dispone el artículo 34 de la Ley Orgánica del Tribunal Constitucional, al Congreso de los Diputados y al Senado, por conducto de sus Presidentes, y al Gobierno de la Nación a través del Ministro de Justicia, al objeto de que en el plazo de 15 días, pudieran personarse en el proceso y formular las alegaciones que estimaran pertinentes. Finalmente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Mesa del Senado, por escrito de su Presidente de 27 de octubre de 2011, acuerda dar por personada a la Cámara en este procedimiento y por ofrecida su colaboración a los efectos del artículo 88.1 de la Ley Orgánica del Tribunal Constitucional. En idéntico sentido se pronuncia la Mesa de la Diputación Permanente del Congreso, en escrito de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10 de noviembre de 2011, el Abogado del Estado se persona en el recurso, en nombre del Gobierno y solicita una prórroga de ocho días en el plazo concedido para formular alegaciones. El Pleno del Tribunal, por providencia de 11 de noviembre, acuerda la concesión de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29 de noviembre de 2011 tiene entrada en el Registro General de este Tribunal el escrito de alegaciones que formula el Abogado del Estado, en nombre y representación del Gobierno de la Nación, en el que solicita que se desestime la demanda y se declare la plena constitucionalidad de la totalidad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efectuando un análisis pormenorizado del contenido de la Ley 40/2010 en el contexto general de la importancia estratégica del almacenamiento geológico de dióxido de carbono. Se refiere, en primer término, al mercado europeo de derechos de emisión y a la llamada Directiva 2003, por la que se establece un régimen para el comercio de los derechos de emisión de gases de efecto invernadero en la Comunidad (modificada por la Directiva 2009/29/CE, del Parlamento europeo y del Consejo, de 23 de abril de 2009). Estas Directivas se incorporan al derecho interno a través de la Ley 1/2005, reformada por la Ley 13/201; y en relación a este proceso viene a destacar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Para el período 2008-2012, el modelo se apoya en la aprobación por cada Estado de un plan nacional de asignación de derechos de emisión, que debe ser notificado a la Comisión. A partir de la Directiva 2009, se fija un máximo europeo de derechos de emisión, integrado por la suma de los contemplados en los planes nacionales, y se prevé a partir de 2013 una reducción de los derechos de emisión para la Comunidad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instalaciones referidas en el anexo I de la Ley 1/2005 “deberán contar con una autorización de emisión de gases efecto invernadero a partir del 1 de enero de 2005, cuyo otorgamiento corresponde al órgano competente de la Comunidad Autónoma en la que se ubique” (art. 4 de la Ley 1/2005).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titularidad originaria de la totalidad de los derechos de emisión que figuren en cada Plan nacional de asignación corresponde a la Administración General del Estado, que los asignará, enajenará o cancelará de conformidad con lo establecido en la Ley 1/2005, y se contempla que los derechos de emisión son transmisibles. La directiva 2009 prevé que a partir de 2013, los Estados miembros subastarán todos los derechos de emisión que no se asignen de forma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diseño del mercado europeo de derechos de emisión produce el efecto de limitar la generación de energía y la producción industrial emisora, salvo que simultáneamente se adopten tecnologías que permitan reducir las emisiones totales sin afectar a la actividad económica. Por ello, parece evidente que el crecimiento económico y el mantenimiento del nivel de vida depende de la aplicación de tecnologías que permitan el incremento de la producción con una disminución de emisiones de gases de efecto invernadero y, entre esas tecnologías destaca por su viabilidad, la captación, transporte y almacenamiento geológico de dióxido de carbono.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40/2010 viene así a transponer al ordenamiento interno la Directiva 2009/31, que fija los objetivos sobre reducción de emisiones mediante el almacenamiento geológico de carbono (CAC). En este contexto, resulta obvio que el preámbulo de la Ley califique la CAC de interés estratégico para la economía nacional, dado que la misma desempeña un papel central en el cambio de modelo energético y en el diseño de las políticas energética, industrial y de lucha contra el cambio climático; de acuerdo con los análisis realizados por la Comisión Europea, la reducción de emisiones de gases de efecto invernadero del 30 por 100 en 2030 tendría unos costes un 40 por 100 más elevados sin emplear la CAC, por lo que no utilizar esta tecnología no sólo pondría en riesgo el logro de los objetivos medioambientales de la Unión Europea, sino que también puede conllevar efectos negativos sobre la competitividad y el empleo. En un escenario de importantes limitaciones en cuanto a la posibilidad de emitir gases de efecto invernadero y de costes crecientes ligados a estas emisiones, el acceso a la CAC se configura como un elemento central a la hora de adoptar decisiones de inversión por los operadores energéticos, permitiendo un ahorro de costes para las empresas, en la medida en que no tendrán que adquirir derechos de emisión mediante subasta o en el mercado, al tiempo que se configura como una pieza clave para el diseño de la política energética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une que, en el sistema de captura y almacenamiento de dióxido de carbono, está presente, como elemento relevante, el componente territorial de una futura red de transporte de CO2 que deberá acabar conectando instalaciones energéticas (y posiblemente industriales) con lugares de almacenamiento, y ello acabará configurando una red de infraestructuras de ámbito supraautonómico interconectadas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a continuación al contenido de la Ley 40/2010, señalando que el legislador estatal ha optado por establecer un régimen específico para el almacenamiento del CO2, a imagen del derecho comunitario que transpone, en lugar de reformar la legislación minera; y ello porque la finalidad de la CAC no es la explotación de un recurso minero sino garantizar un suministro energético de calidad y a precio razonable y un crecimiento económico sostenible, reduciendo los perjuicios para el medio ambiente. La ley regula principalmente la actividad de almacenamiento y sólo contiene previsiones puntuales en relación a la captura y el transporte; en relación con las redes de transporte, pretende garantizar el acceso a las mismas en condiciones transparentes y no discriminatorias y contempla la resolución de posibles conflictos, tanto nacionales como transfronterizos. Su aplicación se extiende a las estructuras subterráneas en España, incluyendo su mar territorial, su zona económica exclusiva y su plataforma continental. El artículo 5 señala las competencias que corresponden a cada Administración, atribuyéndose al Ministerio de Industria, entre otras, las de otorgar los permisos de investigación cuya superficie abarque el territorio de más de una Comunidad Autónoma o el subsuelo marino, y las de otorgar y revocar las concesiones de almacenamiento. Las Comunidades Autónomas serán responsables de otorgar los permisos de investigación en su territorio, establecer un sistema de inspecciones en los lugares de almacenamiento, realizar el seguimiento, fijar las medidas correctoras oportunas, y aprobar el plan de seguimiento.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los títulos competenciales aplicables, considera el Abogado del Estado que resulta de aplicación la STC 18/2011, que sintetiza la doctrina sobre la concurrencia de los títulos recogidos en el art. 149.1.13 y 25 CE, y le lleva a concluir que corresponde al Estado no sólo establecer un conjunto normativo suficientemente homogéneo sino, además, adoptar aquellas medidas que sean precisas para la optimización de los recursos energéticos desde el punto de vista del interés nacional. En relación con el título contemplado en el art. 149.1.23 CE, estima que resulta de aplicación lo dispuesto en las SSTC 98/2001 y 14/2004, en las que el Tribunal examinó una serie de medidas estatales que tenían por objeto la “promoción de actuaciones de uso racional de la energía y la utilización de las energías renovables” con una evidente finalidad de conciliar el desarrollo económico con la preservación del medio ambiente, y en las que el Tribunal afirmó que de los dos títulos competenciales aducidos —medio ambiente y régimen energético— es el correspondiente al régimen energético el que por su mayor especificidad debe prevalecer. En relación con el título contemplado en el art. 149.1.22 CE, afirma que la jurisprudencia constitucional ha reconocido de forma categórica la competencia exclusiva del Estado para la autorización de instalaciones eléctricas cuando su aprovechamiento afecte a otra Comunidad o el transporte salga de su ámbito territorial y, como ha quedado expuesto, la CAC resulta tan vinculada con las grandes instalaciones de generación eléctrica, que la propia disposición adicional segunda de la Ley 40/2010 vincula la autorización de aquéllas a la condiciones de previsión de espacio de captación de CO2 para su posterior transporte y almacenamiento.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examina las concretas alegaciones contenidas en la demanda, señalando sintéticamente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Resulta clara la relevancia del título competencial del art. 149.1.13 CE, dado que una adecuada implantación de la tecnología CAC es imprescindible para asegurar un crecimiento económico sostenible, al menos en los próximos 40 años, que permita además cumplir los compromisos internacionales asumidos por España y por la Unión Europea para la reducción de las emisiones de gases de efecto invernadero. Por ello, lo que habrá de precisarse es en qué preceptos de la Ley 40/2010 prevalece el contenido económico y en cuáles la orientación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Estado ostenta la competencia para otorgar permisos de investigación supraautonómicos y concesiones de almacenamiento. El núcleo de la demanda se dirige a reprochar la atribución al Estado de facultades ejecutivas en este ámbito, y ha de tenerse en cuenta al respecto, que el Tribunal ha declarado que la competencia configurada como básica puede incluir funciones ejecutivas (STC 33/2005).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 anterior, afirma que el permiso de investigación carece de un enfoque específicamente medioambiental y, en relación con el mismo, debe prevalecer el título de ordenación general de la economía; el permiso de investigación se configura como previo a la concesión de almacenamiento, por lo que cabe predicar de él el mismo carácter que tenga esta última, que la disposición final undécima de la ley considera amparada en el art. 149.1.13 CE. La previa investigación de lugares de almacenamiento y la ulterior concesión engarzan con la finalidad prevalente de poner a disposición del crecimiento económico sostenible, lugares que permitan la aplicación de la innovación tecnológica regulada en el Ley 40/2010. El ámbito supraautonómico del permiso justificaría la atribución de competencia ejecutiva al Estado, pues estamos ante una actividad pública que no es susceptible de fraccionamiento, en cuanto ejerciéndose sobre una estructura geológica que se extiende al territorio de varias Comunidades Autónomas, técnicamente resulta imposible la división de la estructura por Comunidades. La investigación para la que se otorga el permiso ha de servir para verificar que una determinada cavidad resulta apta para su sellado y almacenamiento de gas, de forma que requiere un estudio conjunto, por lo que no resulta posible que se otorguen permisos de investigación limitados al territorio de una Comunidad Autónoma para investigar formaciones geológicas que se extienden más allá de dicho territorio, pues tal estudio fragmentado no podrá determinar la aptitud de la cavidad en su conjunto para almacenar gases. La actuación tampoco puede ejercerse mediante mecanismos de cooperación o coordinación, requiriendo un grado de homogeneidad que sólo puede garantizar su atribución al Estado, pues existirán criterios o intereses diversos que sólo pueden armonizarse por el Estado. Además, la Ley 40/2010 incorpora al procedimiento de otorgamiento del permiso un intenso mecanismo colaborativo a través del informe preceptivo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otorgamiento de permisos de investigación cuando afecten al “subsuelo marino”, la doctrina constitucional es clara (SSTC 149/1991 y 38/2002), afirmando que las competencias de las Comunidades Autónomas se circunscriben a su ámbito territorial, y que la proyección de esas competencias sobre el mar territorial tiene carácter extraordinario y dependerá, bien del explícito reconocimiento estatutario, bien de la naturaleza de la competencia, tal como resulta de la interpretación del bloque de la constitucionalidad; elementos excepcionales que no concurren en el presente supuesto. Estaría así razonada la constitucionalidad de los arts. 5.1 a) y g), 2 a), 3 a), 8.6 y 9.6 y 7 y de la disposición adicional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apartados 3 y 4 del artículo 6, y el apartado 6, párrafo 2 del artículo 8 de la Ley 40/2010, debe descartarse la impugnación pues, el apartado 4 del artículo 6, se limita a atribuir competencias para la resolución de las incidencias que puedan presentarse en el caso de concurrencia de dos o más permisos de investigación sobre una misma estructura geológica al “órgano competente de la comunidad autónoma o (a)l Ministerio de Industria, Turismo y Comercio, en el caso de permisos de investigación de su competencia”, por lo que solo se reserva al Estado la resolución de las incidencias cuando concurran permisos de investigación de su competencia, sin que nada diga sobre la concurrencia de permisos de competencia estatal y autonómicos. Por otra parte el artículo 6.3, que refiere a las solicitudes de permisos de investigación o concesiones de almacenamiento, de CO2 y de otras sustancias mineras, que se cuestiona por la Comunidad Autónoma al entender que disponen del “mejor y más fundamentado conocimiento sobre cuál es la explotación que resulta de mayor interés”, entra, a juicio del Abogado del Estado, de lleno en las facultades de coordinación, titularidad de quien ostenta las competencias normativas, al conllevar cierto poder de dirección. Finalmente el artículo 8.6, párrafo 2, se cuestiona por imponer a los titulares de un permiso de investigación que remitan al Ministerio de Industria, Turismo y Comercio “el resultado de los trabajos de investigación”, imposición que es absolutamente razonable de acuerdo con el esquema competencial de la Ley 40/2010.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 las concesiones de almacenamiento, reguladas fundamentalmente en los arts. 5.1 b) y 10 a 15 de la Ley, las mismas resultan adecuadamente amparadas por el título competencial del art. 149.1.13 CE, en cuanto constituyen la piedra angular de toda la estructura que forma la tecnología de la CAC, por lo que resultan de aplicación los argumentos señalados respecto de su importancia estratégica para la economía nacional y europea, y la garantía del crecimiento económico sostenible. En aplicación del mencionado título competencial, el legislador estatal ha optado por atribuir al Estado las competencias directamente relacionadas con la planificación económica, singularmente la elección de los lugares de almacenamiento, reservando a la Comunidad Autónoma la adopción de las cautelas para que esa actividad, potencialmente dañina para el medio ambiente pero imprescindible para mantener el crecimiento económico, no llegue a realizar perjuicios en el entorno natural. Por lo demás, la ubicación del lugar de almacenamiento tiene carácter estratégico, pues habrá de conectarse a través de una red de transporte nacional y transnacional con instalaciones emisoras de CO2, y está sujeta a una intervención a escala comunitaria con arreglo al principio de subsidiariedad.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pues, como pretende la Comunidad Autónoma, ante una actividad reglada, sino ante una planificación que deberá hacerse desde una perspectiva estatal, a través de tres instrumentos: la autorización estatal de las grandes instalaciones de generación, el diseño y gestión de la futura red de transporte de CO2, y la elección de los lugares de almacenamiento de CO2 mediante el otorgamiento de la correspondiente concesión. Estando claro el carácter estratégico de las concesiones de almacenamiento, ha de afirmarse la legitimidad de su asunción por el Estado, máxime cuando se han establecido fuertes mecanismos colaborativos que convierten a las Comunidades en los actores principales de la protección del medio ambiente, reservándose a la gestión centralizada únicamente los aspectos estrictamente relacionados con el sistema nacional CAC. Con ello, la Ley 40/2010 sigue el esquema de distribución competencial de la Ley 1/2005, reservando el Estado actos de ejecución que se consideran estratégicos para la economía nacional: aprobación del plan nacional de asignación de derechos de emisión, asignación individualizada de esos derechos y gestión del mercado nacional de derechos de 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permiso de investigación se limita al estudio de la aptitud de una formación para constituir lugar idóneo para el almacenamiento; nada impide, por tanto, que si la formación que se pretende investigar tiene ámbito autonómico, sea la Comunidad quien otorgue el permiso. Sin embargo la concesión de almacenamiento es, en todo caso, estratégica desde la perspectiva nacional; su interés suprautonómico se percibe si tenemos en cuenta que cada lugar de almacenamiento habrá de formar parte de la una red europea interconectada y que servirá de depósito de CO2 captado a instalaciones situadas en diversas Comunidades Autónomas o incluso en otros Estado de la Unión. Pueden existir en esta materia intereses contrapuestos o divergentes de Comunidades Autónomas que sólo el Estado puede cohonestar en atención al interés público superior. Justificado el carácter estatal de la concesión de almacenamiento, participarían de esta misma naturaleza todas las actuaciones conexas, recogidas en los arts. 5.1 b), c), d), e) y g), y 4; 10, apartados 4, 6 y 7; 11, apartados 1, 2 y 6; 13; 15, apartados 1, 2, 3, 4, 5 y 7; 19, apartados 2 y 3, y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impugnación formulada en relación con los apartados 1 a 4 del artículo 24 y 25, afirma el representante estatal que la argumentación de la demanda no levanta la carga que le incumbe de fundamentar la impugnación, indicando, que, en todo caso, los preceptos regulan la atribución al Estado de la responsabilidad de las obligaciones legales tras el cierre de una instalación de almacenamiento de CO2 e imponen al Gobierno el seguimiento de estos lugares de almacenamiento tras su cierre, por lo que las mismas razones que justificaban la asunción por el Estado de la titularidad demanial de los lugares de almacenamiento y del otorgamiento de la concesión de almacenamiento amparan igualmente los artículos 24 y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la impugnación de los artículos 5, 26 y 27, remitiéndose a lo ya señalado, considera que las redes de transporte tienen carácter supranacional, por lo que no existen dudas sobre su naturaleza supraautonómica, debiendo ponerse de relieve además que la gestión de esa red no resulta fraccionable por Comunidades Autónomas, pues ha de unir instalaciones emisoras con lugares de almacenamiento que pueden encontrarse no sólo en distintas Comunidades Autónomas sino en otros países, por lo que sólo el Estado desde una perspectiva global puede gestionar la red, conciliando, en su caso, los intereses contrapuestos de las diversas Comunidades, y garantizando un equitativo acceso a los lugares de almacenamiento a través de una red integrada de transporte. Señala que la ley habilitante regula con detalle y precisión los parámetros en que habrá de moverse la norma reglamentaria, en particular, el propio artículo 26.3 impone que el régimen retributivo que se establezca respecte “los principios de transparencia y no discriminación” en el acceso a las redes de transporte. Por otro lado, desde un punto de vista formal, el Tribunal tiene reconocida la aptitud del reglamento para el ejercicio de la competencia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 a continuación el representante estatal el artículo 38, indicando que es aplicable a este supuesto la doctrina del Tribunal sobre el carácter instrumental de la potestad sancionadora en la materia sobre la que recae. Por lo que justificada la plena constitucionalidad de la asunción por el Estado de la competencia material, lo estaría también la potestad sancionadora vinculada a aquélla. Finalmente, y en cuanto a la disposición final undécima, ésta se limita a especificar los títulos competenciales en cuya virtud se dictan los preceptos de la Ley 40/2010, por lo que ha de correr la misma suerte que los preceptos que son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noviembre de 2016 se acordó señalar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recurso de inconstitucionalidad formulado por la Generalidad de Cataluña en relación con los artículos 5, apartados 1, 2, y 4; 6, apartados 3 y 4; 8, apartado 6 segundo párrafo; 9, apartados 6 y 7; 10, apartados 4, 6 y 7; 11, apartados 1, 2 y 6; 13; 15, apartados 1, 2, 3, 4, 5 y 7; 19, apartados 2 y 3; 23; 24, apartados 1, 2, 3 y 4; 25; 26, apartados 1, 3, 4 y 5; 27, apartado 1; 38, apartado 1; disposición adicional tercera, apartado 5; así como la atribución del carácter básico a los citados preceptos en la disposición final undécima de la Ley 40/2010, de 29 de diciembre, de almacenamiento geológico de dióxido de carbono.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con detalle en los antecedentes el recurso se fundamenta en la vulneración del orden constitucional de distribución de competencias que deriva de lo dispuesto en los artículos 149.1.13, 23 y 25 CE, al entender que el sistema diseñado por la Ley 40/2010, se aparta del contenido de los mencionados títulos competenciales por reservar a órganos de la Administración del Estado la realización de funciones importantes de naturaleza ejecutiva, desplazando a los órganos competentes de la Generalitat de Cataluña: a) tanto en relación con los trámites administrativos previos y posteriores al otorgamiento de la concesión de almacenamiento de CO2 (en el caso de los artículos 10, apartados 4, 6 y 7; 11, apartados 2 y 6; 13; 15, apartados 1, 2, 3, 4, 5 y 7; 24, apartados 1, 2, 3 y 4 y 25); b) como en la configuración del acceso de terceros a las redes, o con la solución de los conflictos que puedan generarse arts. 6, apartados 3 y 4; 8, apartado 6 segundo párrafo; 9, apartados 6 y 7; 26, apartados 1, 3, 4 y 5 y 27, apartado 1; c) y, en la atribución al Estado de facultades ejecutivas que forman parte de las competencias autonómicas de desarrollo y/o de ejecución de la legislación básica estatal en materia de medioambiente (artículos 5, apartados 1, 2, 3 y 4; 8; 10, apartados 4, 6 y 7; 11; 13; 15; 19; 24, apartados 1, 2, 3 y 4; 25 y apartado 1 del artículo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como se expone más detalladamente en los antecedentes, se opone al recurso, razonando que las previsiones impugnadas no incurren en el exceso competencial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40/2010, de 29 de diciembre, ha sido objeto de la STC 165/2016, de 6 de octubre, dictada en el recurso de inconstitucionalidad núm. 1870-2011, promovido contra la misma por el Gobierno de Aragón, y de la STC 182/2016, de 3 noviembre que resuelve el recurso de inconstitucionalidad núm. 5252-2011, promovido por la Junta de Galicia. En ambas Sentencias se han desestimado en su integridad las impugnaciones formuladas por las referidas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indicadas Sentencias son referencia obligada, dado que resuelven controversias competenciales similares a las planteadas ahora respecto de los mismos preceptos, por lo que la doctrina allí contenida resulta trasladable para resolver el presente recurso, debiendo por ello remitirnos a los fundamentos jurídicos que la STC 165/2016 dedica al examen del contenido de la Ley 40/2010 (FJ 3), al encuadramiento de la controversia competencial (FJ 4), y a la consideración como título competencial prevalente, de la competencia estatal sobre las bases del régimen minero, contemplado en el art. 149.1.25 CE (FFJJ 5, 6, 7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SSTC 165/2016 y 182/2016, de 3 noviembre desestimaron la impugnación formulada por el Gobierno de Aragón y la Junta de Galicia en relación con la atribución al Estado de la competencia relativa a la concesión de almacenamiento, así como del conjunto de facultades administrativas conexas que allí se impugnaron, y que en el presente recurso se plantean en términos coincidentes. A la vista de esta coincidencia objetiva, de acuerdo con la doctrina constitucional (STC 172/1998, de 23 de julio, FJ 2), procede desestimar las impugnaciones formuladas contra los artículos 5, apartados 1,2, y 4; 8, apartado 6 segundo párrafo; 9, apartados 6 y 7; 10, apartados 4, 6 y 7; 11, apartados 1, 2 y 6; 13; 15, apartados 1, 2, 3, 4, 5 y 7; 19, apartados 2 y 3; 23; 24, 25, 26, apartados 1, 3, 4 y 5; 27, apartado 1; 39; disposición adicional tercera, así como la atribución del carácter básico a los citados preceptos en la disposición final undécima por remisión a lo dispuesto en las SSTC 165/2016 y 182/2016, de 3 noviembre, cuyos fundamentos jurídicos 9 a 13 y 2 a 5, respectivamente, cabe dar por reproducidos, lo que nos exime de incluirlos siquiera sea en extracto (STC 100/2016, de 25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la impugnación competencial dirigida a los apartados 3 y 4 del art. 6 de la Ley 40/2010, que si bien no fueron objeto de impugnación expresa en los recursos de inconstitucionalidad resueltos por las SSTC 165/2016 y 182/2016, su inconstitucionalidad por exceso de atribución de competencias ejecutivas a los órganos del Estado fue descartada expresamente al examinar la impugnación de los apartados 1 a) y 3 a) del artículo 5, en el fundamento jurídico 13 de la STC 165/2016, al que nuevamente nos tenemos que remitir.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respecto de la Sentencia dictada en el recurso de inconstitucionalidad núm. 5261-2011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su fundamentación jurídica y con su fallo, que considero que hubiera debido ser 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razón de mi discrepancia es coincidente con la que ya fue expuesta en el Voto particular formulado a la STC 165/2016, de 6 de octubre, al que para evitar reiteraciones innecesarias me remito. Madrid, a diecisiete de noviembre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