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4952-2016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4952-2016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arts. 9, 12, así como de las disposiciones transitoria segunda y adicional cuarta, del Decreto-ley 3/2015, de 15 de diciembre, del Gobierno de Aragón, de medidas urgentes en materia de prestaciones económica de carácter social, pobreza energética y acceso a la vivienda.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del art. 1 y la disposición transitoria tercera del Decreto-ley 3/2015.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19 de septiembre de 2016, el Abogado del Estado, en nombre y representación de la Presidenta del Gobierno en funciones, interpuso recurso de inconstitucionalidad contra los artículos 1, 9, 12, disposiciones transitorias segunda y tercera, y disposición adicional cuarta del Decreto-ley del Gobierno de Aragón 3/2015, de 15 de diciembre, de medidas urgentes en materia de prestaciones económica de carácter social, pobreza energética y acceso a la vivienda. El Decreto-ley fue publicado en el “Boletín Oficial de Aragón” núm. 243, de 18 de noviembre de 2015. El Abogado del Estado invocó el art. 161.2 CE y el art. 30 de la Ley Orgánica del Tribunal Constitucional (LOTC), a fin de que se produjese la suspensión de los preceptos legales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4 de octubre de 2016, el Pleno del Tribunal acordó admitir a trámite el recurso de inconstitucionalidad, dar traslado de la demanda y documentos presentados, conforme establece el art. 34 LOTC, al Congreso de los Diputados y al Senado, así como a la Diputación General de Aragón y a las Cortes de Aragón, al objeto de que, en el plazo de quince días, pudieran personarse en el proceso y formular la alegaciones que estimaren convenientes. Asimismo, se acordó tener por invocado el art. 161.2 CE, lo que, conforme dispone el art. 30 LOTC, produce la suspensión de la vigencia y aplicación de los preceptos legales impugnados desde la fecha de interposición del recurso para las partes del proceso, y desde el día en que aparezca publicada la suspensión en el “Boletín Oficial del Estado” para los terceros, lo que se comunicará a los Presidentes de la Diputación General y de las Cortes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el 19 y 20 de octubre de 2016, respectivamente, los Presidentes del Sentado y del Congreso de los Diputados comunican el acuerdo de la Mesa de sus respectivas Cámaras, de personarse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21 de octubre de 2016 la Letrada de las Cortes de Aragón comparece en el proceso, en la representación que legalmente ostenta, y solicita se le conceda prórroga del plazo para formular alegaciones; petición a la que accedió el Pleno del Tribunal mediante providencia de 2 de noviembre de 2016, prorrogándole por ocho días más el plazo de alegaciones inicialmente conferido, a contar desde el día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día 4 de noviembre de 2016, la Letrada de la Comunidad Autónoma de Aragón en el representación que legalmente ostenta del Gobierno de Aragón, comparece en el proceso y solicita se le conceda prórroga del plazo para formular alegaciones, petición a la que accedió el Pleno del Tribunal mediante providencia de siete de noviembre, prorrogándole en ocho días el plazo de alegaciones inicialmente conferido, a contar desde el día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21 de noviembre de 2016, la Letrada de la Comunidad Autónoma de Aragón procedió a formular alegaciones en el presente recurso de inconstitucionalidad, interesando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Letrada de las Cortes de Aragón presentó, el 21 de noviembre de 2016, el escrito de alegaciones en el presente recurso de inconstitucionalidad, solicitando que se dicte en su día sentencia inadmitiendo dicho recurso por falta de legitimación del Presidente de un Gobierno en funciones para interponerlo, o, subsidiariamente, se desestime dicho recurso. Asimismo solicita que, sin necesidad de agotar el plazo de cinco meses a que se refiere el art. 161.2 CE, se le dé audiencia para formular alegaciones sobre la pertinencia de ratificar o levantar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del Tribunal, por providencia de 28 de noviembre, acordó oír a las partes personadas, para que en el plazo de cinco días, expusieran lo que estimaran procedente sobre el levantamiento o mantenimiento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por escrito registrado en este Tribunal el 7 de diciembre de 2016, interesó el mantenimiento de la suspensión de los preceptos legales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doctrina constitucional relativa a los incidentes de suspensión de leyes autonómicas, afirma que el levantamiento de la suspensión de los preceptos impugnados del Decreto-ley de Aragón 3/2015, de 15 de diciembre, ocasionaría graves e irreparables perjuicios. A efectos de presente incidente, considera que los preceptos pueden encuadrarse en dos bloques distintos; por una parte, el art. 1 y la disposición transitoria tercera; por otra parte, los arts. 9, 12, disposición transitoria segunda y disposición adicional cuarta.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lo que respecta al artículo 1, considera el Abogado del Estado que la eficacia de este precepto no puede sino introducir una gran inseguridad jurídica en las personas beneficiarias de su mandato; tratándose además de personas con riesgo de exclusión social, la sola posibilidad de que el recurso de inconstitucionalidad fuera estimado, y como consecuencia de ello, debieran devolverse las cantidades declaradas inembargables y ya percibidas, producirá perjuicios evidentes, porque las dificultades económicas se incrementarán, al acumularse la exigibilidad de la devolución.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también que el art. 4 del Real Decreto-ley 9/2015 de 10 de julio, de medidas urgentes para reducir la carga tributaria soportada por los contribuyentes del impuesto sobre la renta de las personas físicas y otras medidas de carácter económico, contempla una medida similar a la presente, y ha atendido a esta necesidad social. La coexistencia de la eficacia vinculante de dos tipos de normas sobre la misma materia, pero cuyo contenido no es idéntico, es susceptible, de esta suerte, de causar una gran inseguridad jurídica, especialmente a los órganos jurisdiccionales y administrativos que deberán discernir cuál de las normas deben aplicar.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mantenimiento de la suspensión de la normativa autonómica supondría la exclusiva vigencia de la normativa estatal, lo que no causa perjuicio alguno a las personas beneficiarias de esta medida social, porque la norma establece con claridad el ámbito de aplicación de la inembargabilidad para los créditos de todas las Administraciones públicas, estatal, autonómica y local, y no solo de las aragonesas. Considera también que el mantenimiento de la suspensión debe proyectarse sobre la disposición transitoria tercera, al establecer el régimen de aplicación del artículo 1 con carácter retroactivo.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al segundo bloque de preceptos impugnados, el Abogado del Estado fundamenta sus alegaciones en los informes que adjunta a su escrito, elaborados por el Ministerio de Economía y Competitividad, el Banco de España y por el Fondo de reestructuración ordenada bancaria, todos los cuales consideran que las medidas controvertidas tienen un considerable impacto negativo sobre la situación financiera de las entidades bancarias, el crédito hipotecario, el mercado de cédulas hipotecarias y los compromisos internacionales asumidos por España, fundamentalmente en el memorando de entendimiento firmado el 20 de julio de 2012, y su seguimiento, en el marco de la ayuda financiera otorgada a nuestro país por la Unión Europea. Especialmente, el levantamiento de la suspensión provocará consecuencias negativas en la actividad y el plan de negocio de la Sociedad de gestión de activos procedentes de la reestructuración bancaria (SAREB), cuyo éxito es garantía de que la reestructuración de las entidades de crédito que se ha realizado en los últimos meses, y se lleva a cabo mediante una adecuado reparto de costes y minimizando el riesgo para los contribuyentes.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dichos informes resulta asimismo que la eventual aplicación de los preceptos del Decreto-ley impugnado puede determinar un incremento de los costes de reestructuración asumidos por el Estado, sin añadir un mayor nivel de protección social a los deudores hipotecarios sin recursos, respecto de la protección ya garantizada por la normativa estatal en vigor. Todo ello en un contexto como el actual, en el que resulta imprescindible proseguir con los esfuerzos y extremar la vigilancia con el fin de proteger la estabilización definitiva del sector financiero español, en un entorno económico todavía adverso.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también la existencia de un gran paralelismo entre el Decreto-ley aragonés y otras normas autonómicas, entre las que cita la Ley andaluza 4/2013, de 2 de julio, la Ley Foral 24/2013, de 2 de julio, la Ley 2/2014, de 20 de junio, de Canarias, la Ley del Parlamento Vasco 3/2015, de 18 de junio, y la Ley 24/2015, de 29 de julio de Cataluña. Los AATC 69/2014, FJ 10; 115/2014, FJ 5; 144/2016, y 160/2016 han mantenido así la suspensión de preceptos similares de las citadas leyes; en concreto, la norma aragonesa comparte con la normativa autonómica previamente impugnada una medida de suspensión de desahucios en determinadas circunstancias; la cesión forzosa de viviendas; y una medida adicional cual es la interferencia en el código de buenas prácticas establecidas por el Estado. Argumenta asimismo el Abogado del Estado que la proliferación de este tipo de leyes autonómicas en materia de vivienda produce un efecto acumulativo, al comprender gran parte del territorio nacional, lo que podría agravar aún más los efectos negativos para el sector financiero.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Cita así el Abogado del Estado en apoyo de su pretensión el ATC 69/2014, dictado en el incidente de suspensión de la Ley Foral 24/2013, de contenido similar a la impugnada en este caso. Este Tribunal se decantó entonces por el mantenimiento de la suspensión, al apreciar que la aplicación de las medidas impugnadas de la referida Ley Foral en materia de vivienda producirían perjuicios ciertos para el interés público, que supone la estabilidad del sistema financiero en su conjunto; y este criterio fue reiterado en el ATC 115/2014, en el ATC 135/2015, y en el ATC 160/2016. Apela asimismo a la doctrina del fumus boni iuris, que el Tribunal Constitucional ha utilizado en ocasiones para el mantenimiento de la suspensión de una ley, invocando al respecto tanto los precedentes Autos de suspensión como los fundamentos jurídicos 17 y 18 de la STC 93/2015, de 14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partir de las consideraciones que anteceden, el Abogado del Estado pasa a exponer los perjuicios que, a su parecer, provocaría el levantamiento de la suspensión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los perjuicios para los intereses de los particulares afectados, se insiste en que el mantenimiento de la suspensión no causará perjuicio a las personas en especial situación de vulnerabilidad social, a las que se destina. El Estado ya ha reaccionado ante esta realidad, y la concurrencia de las medidas adoptadas por la Ley autonómica con la normativa estatal al respecto, lejos de coadyuvar al objetivo de mejorar la situación de las personas que no disponen de vivienda, pueden ir en su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Estado, en el ámbito de sus competencias, ha aprobado ya diferentes normas de gran relevancia, como el Real Decreto-ley 6/2012, de 9 de marzo, de medidas urgentes de protección de deudores hipotecarios sin recursos, del que ya se han beneficiado cerca de 14.000 familias, y el Real Decreto 27/2012, de 15 de noviembre, de medidas urgentes para reforzar la protección a los deudores hipotecarios. Asimismo, y sin ánimo exhaustivo, cabe destacar el plan estatal de fomento del alquiler de viviendas, la rehabilitación edificatoria, la regeneración y renovación urbanas 2013-2016, aprobado por Real Decreto 233/2013, de 5 de abril. El objetivo del legislador estatal con la aprobación de estas normas no es otro que el de proteger a los colectivos más vulnerables, a quienes padecen extraordinarias dificultades para atender el pago de sus viviendas o para acceder a las mismas, mediante medidas tales como la posibilidad de permitir la reestructuración de la deuda hipotecaria, favorecer el acceso a una vivienda en alquiler, o la posibilidad de que el deudor, con el que la entidad financiera acuerde una “dación en pago”, permanezca en su vivienda por un plazo de dos años en concepto de arrendatario.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Estado ha aprobado también el Real Decreto-ley 1/2015, de 27 de febrero, del mecanismo de segunda oportunidad, reducción de carga financiera y otras medidas de orden social, posteriormente convertido en la Ley 25/2015, de 28 de julio. Esta contiene medidas de diferente naturaleza, encaminadas tanto a la protección de aquellos deudores de un crédito o préstamo garantizado con hipoteca sobre su vivienda habitual, como a ampliar la protección de colectivos especialmente vulnerables. Más específicamente, esta norma supone mejoras adicionales a las que ya se han adoptado antes, con el objetivo de que las personas vulnerables reduzcan su carga financiera. Para ello, establece un conjunto de medidas, entre las que cabe destacar la segunda oportunidad en el ámbito concursal para deudores de buena fe con cargas, que incluye, por primera vez, a las personas físicas; el reforzamiento y flexibilización de la figura del mediador; la simplificación de los procedimientos; la reducción significativa de los aranceles notariales y registrales; la regla de que durante el plazo de negociaciones se suspenderán las ejecuciones; la ampliación del colectivo protegido por el código de buenas prácticas para deudores hipotecarios; y la prórroga adicional de los desahucios (que vencía en mayo de 2016) por dos años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distintos marcos legales a nivel nacional y regional, y la inseguridad jurídica acerca de las reglas aplicables, pueden afectar asimismo al valor de la garantía hipotecaria y a la estabilidad de los mercados financieros. Considera el Abogado del Estado que nada se opone a que las normas autonómicas contemplen actuaciones complementarias; por ejemplo, la financiación con sus recursos económicos a las personas y familias en dificultades, pero lo que no pueden prever son mecanismos que interfieren y perjudican las medidas adoptadas por el Estado; este criterio ha sido acogido en la STC de 14 de mayo de 2015, en relación al Decreto-ley 6/2013, dictado por la Junta de Andalucía, de contenido similar a la norma ahora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norma aragonesa —al igual que las otras normas autonómicas antes referidas— se diferencia de la normativa de ámbito nacional, en que esta última contempla la suspensión temporal de los procedimientos de ejecución, complementada con un esquema de adhesión voluntaria (código de buenas prácticas); en tanto que las normas autonómicas descansan en un procedimiento coercitivo; concretamente, la previsión de un régimen sancionador sobre incumplimientos de la obligación de cesión obligatoria del derecho de uso de viviendas desocupadas, en el caso de la norma aragonesa. Además, la coexistencia de dos regímenes (estatal y autonómico) con idéntica finalidad, pero distinta articulación jurídica, hace previsible que surjan conflictos de aplicación que pongan en riesgo tanto la deseable seguridad jurídica, como la propia finalidad de protección perseguida por estas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alegan a continuación los perjuicios para el sistema financiero, referidos al riesgo de incumplimiento de compromisos de carácter internacional; en concreto del memorando de entendimiento sobre condiciones de política financiera de 20 de julio de 2012. La Comisión Europea ha destacado en su informe de evaluación del programa de asistencia al sector financiero de enero de 2016, el potencial impacto negativo de iniciativas autonómicas de protección de los deudores hipotecarios para las actividades de la SAREB, tanto de forma directa (sanciones por inmuebles deshabitados), como indirecta (por el aumento de la incertidumbre que puede desincentivar las ofertas de potenciales compradores y deteriorar el valor de la cartera de activos de la SAREB). Asimismo, la aplicación de algunas disposiciones del Decreto-ley aragonés, y en particular, la suspensión de los desahucios y la expropiación temporal del derecho de uso, podrían lastrar las iniciativas de venta de paquetes activos, en detrimento del objetivo último de la SAREB, y generar mayor incertidumbre por deterioro del valor de las carteras de activos.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impacto potencial del Decreto-ley 3/2015 en el sector bancario, se afirma que las medidas introducidas por la norma suponen un deterioro de la posición financiera de las entidades de crédito, en tanto que implican un coste directo para éstas o un deterioro del valor de determinadas partidas en sus balances. El mayor deterioro vendría motivado por la pérdida de valor de los inmuebles adjudicados; dichas viviendas deberán permanecer en el balance de las entidades y, conforme a la aplicación de la normativa contable, deberán dotarse provisiones que en tres años alcanzarán el menos el 40 por 100 del valor de dicho inmueble; esto, además de suponer una minoración significativa de su cuenta de resultados, es contradictorio con el objetivo de incentivar a las entidades a deshacerse de dichos inmuebles. En definitiva, las medidas propuestas reducen la capacidad de las entidades de crédito de generar resultados positivos suficientes, lo que constituye condición necesaria para dotar recursos propios que permitan mantener su solvencia y, con ello, la estabilidad financiera.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previsión de una cesión temporal forzosa del uso de las viviendas obtenidas en garantía de créditos hipotecarios, reduce pues la eficacia de la garantía para enjugar las pérdidas derivadas del impago del prestatario, con el efecto inmediato de la reducción del valor de la deuda que podría recuperarse. En general, tales medidas comportan un aumento del riesgo asumido por las entidades en los créditos ya concedidos, con el consiguiente efecto negativo para la estabilidad financiera. También podrían tener un impacto sobre las emisiones de cédulas hipotecarias y otros valores garantizados por préstamos hipotecarios, debido al deterioro de la calidad de la garantía subyacente, que dificultará la capacidad de financiación de las entidades de crédito. Por último, la aplicación de la norma podría generar también mayores costes para las entidades, en caso de incumplimiento o demora de la obligación de poner a disposición de la Administración las viviendas, en los supuestos previstos en la norma, como consecuencia del régimen sancionador establecido, lo que, en su caso, afectaría a la evolución de los márgenes y resultados de las entidades.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al impacto sobre el crédito hipotecario, el Abogado del Estado aduce que la aplicación de la Ley recurrida afectaría al mercado de cédulas y bonos hipotecarios, al crear inseguridad jurídica y debilitar la fuerza de la garantía hipotecaria, reduciendo la atracción de esta fuente de financiación de las entidades de crédito, remitiéndose al informe elaborado por el Banco de España en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Se analiza seguidamente el contenido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9, al ordenar la suspensión de los lanzamientos en procesos judiciales o extrajudiciales de ejecución hipotecaria de personas en situación de especial vulnerabilidad, cuando su vivienda actual se adjudique el acreedor o a un tercero por él propuesto hasta que se ofrezca una alternativa habitacional por parte de la Administración, entra en conflicto con la previsiones equivalentes de la ley estatal, creando inseguridad jurídica y afectando a las entidades financieras, además de a los acreedores no institucionales. Considera el Abogado del Estado que resultan de aplicación los pronunciamientos de la STC 93/2015, en relación con las expropiaciones de uso de la vivienda desocupada previstas en dicha norma, medida que es equiparable a la prevista en este art. 9 y en la disposición transitoria tercera del Decreto-ley aragonés. Aunque la suspensión de lanzamientos se contempla en el apartado 1 del art. 9, el resto de los apartados, en la medida en que son instrumentales para la ejecución de esta medida, deben mantenerse en suspenso por conexión; y lo mismo sucede con la disposición transitoria segunda, que establece el momento de entrada en vigor de esta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12 impone a determinados propietarios, señaladamente a la SAREB, un deber jurídico concreto de cesión de viviendas, medida cuya ejecución deteriora el valor de los activos adjudicados, en tanto que los compradores, sabedores de que la entidad podrá perder las viviendas si no se ocupan, exigirán precios más competitivos; por otro lado, las entidades a las que alcanza el proceso de reestructuración inmobiliaria, no podrán llevar a cabo la venta de sus viviendas adjudicadas afectadas por esta medida, al tiempo que mantendrán la titularidad sobre las mismas, lo que implica que éstas deberán permanecer en el balance de estas entidades, como ya se ha expuesto.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adicional cuarta altera, por otra parte, el régimen jurídico establecido por el Estado para los deudores hipotecarios, al exigir que las medidas del código de buenas prácticas, previstas en el Real Decreto-ley 6/2012, de 9 de marzo, se desarrollen dentro del sistema de mediación hipotecaria implantado por la Comunidad Autónoma. El informe emitido por el Consejo de Estado ya consideró, en este punto, que el precepto impone un mecanismo de resolución extrajudicial de conflictos que afecta a las medidas articuladas por el Estado para la protección de los deudores hipotecarios en el citado Real Decreto-ley. A estos argumentos añade el Abogado del Estado que las entidades de crédito se adhieren al código de buenas prácticas voluntariamente y asumiendo un régimen jurídico determinado, por lo que toda modificación que se haga del código, una vez recogida su adhesión, supone la alteración de las reglas del acuerdo y la necesidad de volver a contar con la adhesión de las entidades, lo que pone de manifiesto los efectos perjudiciales que supone 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del Gobierno de la Comunidad Autónoma de Aragón evacuó escrito el 9 de diciembre de 2016, solicitando el levantamiento de la suspensión de los preceptos impugnados, con base en las alegaciones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doctrina del Tribunal Constitucional sobre los incidentes de suspensión, pone de manifiesto que en algunos procesos incidentales, íntimamente relacionados con el presente, frente a los Autos de mantenimiento de la suspensión se han formulado votos particulares, cuya fundamentación se considera relevante en orden al levantamiento de la suspensión de las disposiciones impugnadas del Decreto-ley 3/2015. Cita específicamente el Voto particular formulado al ATC 69/2014, que transcribe literalmente; el Voto particular contenido en el ATC 115/2014; y el Voto particular que acompaña al ATC32/2015.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 anterior, considera la Letrada que el levantamiento de la suspensión ningún perjuicio produciría ni al interés público ni a los intereses particulares de los terceros que pudieran verse afectados por los mandatos recogidos en lo preceptos y disposiciones impugnados, atendida su naturaleza y alcance. Y ello por cuanto su contenido se encuentra en la línea de la legislación estatal relativa a la adopción de medidas dirigidas a paliar los efectos de la exclusión social ante la grave crisis económica. Se trata de medidas complementarias a las previstas en la legislación estatal en orden a afrontar la “delicada situación de emergencia social que atraviesa una importante parte de la sociedad aragonesa”, que no puede satisfacer sus necesidades básicas.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a la vista de los argumentos expuestos en el recurso de inconstitucionalidad, es previsible que la Abogacía del Estado alegue, en defensa del mantenimiento de la suspensión del Decreto-ley, la existencia de menoscabo o lesión al sistema financiero español, lo que en modo alguno puede ser acogido. Basta advertir que, durante el período de vigencia de la norma autonómica, y hasta su suspensión ex art. 161.2 CE, las medidas adoptadas no tuvieron incidencia negativa alguna en la política económica del Estado, ni en el desarrollo del proceso de reestructuración bancaria.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Estima asimismo que los perjuicios que eventualmente pudieran generarse no serían irreparables o de difícil reparación, ni sería irreversible la situación creada por la vigencia de la norma legal impugnada ante una eventual futura declaración de inconstitucionalidad, ya que el carácter irreparable excluye, con carácter general, los perjuicios de naturaleza patrimonial. A ello se añade que el mantenimiento de la suspensión daría lugar a la existencia de perjuicios de imposible o difícil reparación, ya que imposibilitaría la puesta en práctica de las medidas dirigidas a combatir, de forma complementaria a la estatal, la situación de emergencia social y la exclusión social de los sectores más desfavorecidos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Letrada de las Cortes de Aragón presentó, en fecha 15 de diciembre de 2016, escrito sobre el presente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carácter excepcional del mantenimiento de la suspensión, como premisa básica, dado que toda norma con rango de ley de una Comunidad Autónoma goza de presunción de legitimidad, por ser fruto de la autonomía política y de la libre configuración del legislador. El Tribunal Constitucional ha hecho recaer sobre el Gobierno de la Nación la carga procesal de acreditar o, como mínimo, razonar consistentemente, la concurrencia de los graves perjuicios de imposible o muy difícil reparación que causarían a los intereses generales para mantener la suspensión de la ley o disposición con rango de ley impugnada, más allá de los cinco meses previstos constitucionalmente.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efectuar una mención a lo señalado por el Abogado del Estado en su escrito de demanda, señala que las disposiciones recurridas ya han estado vigentes nueve meses, sin que se hayan observado perjuicios irreparables para los intereses públicos, que legitimarían el mantenimiento de la suspensión. La nueva legislación aragonesa no ha hecho resentirse al sistema financiero, sin que se hayan producido efectos desfavorables sobre el conjunto de las entidades de crédito y demás incluidas en el ámbito de aplicación del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Rechaza la Letrada que la aplicación práctica de las previsiones contenidas en el Decreto-ley puedan tener potencialidad dañosa en el conjunto del sistema financiero, por el solo hecho de que las entidades financieras con viviendas desocupadas radicadas en Aragón deban ponerlas a disposición del sistema de vivienda de la Comunidad Autónoma, obligándose a aceptar como inquilinos de las mismas a las personas seleccionadas por la Administración entre las más vulnerables, con necesidad de una vivienda habitual, cuando se haya demostrado la insuficiencia de los convenios de colaboración voluntaria y de las viviendas del sector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también que las medidas articuladas por el Estado y las instrumentadas por la Comunidad Autónoma en el Decreto-ley 3/2015, no son contradictorias entre sí, sino que son fruto del ejercicio de distintas competencias que tienen elementos de tangencia. El Gobierno autonómico aprobó el Decreto-ley para reforzar la eficacia de las disposiciones estatales, ante la insuficiencia de éstas, acreditada con cifras, para lograr evitar el drama del desalojo de la vivienda habitual, en el caso de personas o familias especialmente vulnerables; siendo así que en algún caso, las medidas autonómicas recurridas no solo es que complementen las adoptadas por el Estado, sino que coinciden con éstas.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la declaración de inembargabilidad de las prestaciones económicas reguladas por la Comunidad Autónoma para atender a colectivos en riesgo de exclusión social, situaciones de urgencia social, necesidades habitacionales de personas sin recursos o necesidades de alimentación, escolarización y demás necesidades básicas de menores o personas con discapacidad, cuando ellos y las personas a su cargo carezcan de medios económicos suficientes, la regulación autonómica coincide básicamente con lo ya establecido por el legislador estatal en el Real Decreto-ley 9/2015, en el que se incluyeron unas categorías generales de retribuciones económicas equivalentes a los sueldos y pensiones, a los efectos del art. 607 de la Ley de enjuiciamiento civil, no debiendo existir ningún inconveniente en que se interprete que tal operación de concreción es la que se ha llevado a cabo a través del Decreto-ley. El Gobierno aragonés ha identificado las ayudas establecidas por la Comunidad Autónoma que encajan dentro de la equivalencia con los sueldos y salarios declarados inembargables por el Estado. Interpretado el artículo 1 en estos términos ningún perjuicio irreparable puede causar a los intereses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escrito que no ha quedado acreditado que las disposiciones impugnadas incidan tampoco cualitativa o cuantitativamente en el sistema financiero, ni que pueda peligrar la reestructuración bancaria, el cumplimiento por España de los compromisos asumidos ante la Unión Europea, la posición financiera de las entidades de crédito o el mercado de cédulas y bonos hipotecarios. Por otro lado, las medidas arbitradas hasta ahora por el Estado no han dado solución al problema, siendo irrelevante, además, a efectos del presente incidente, que exista una regulación estatal que contenga medidas para reforzar la protección a los deudores hipotecarios o para garantizar el derecho a la vivienda, pues lo que ha de demostrarse es que la eficacia del Decreto-ley aragonés puede originar determinados perjuicios de imposible o muy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por último, que la presente disposición autonómica difiere de las cuatro leyes autonómicas que han adoptado medidas en materia de vivienda y que han sido recurridas por el Estado, pue en el presente caso no hay expropiación del uso de las viviendas desocupadas de determinadas entidades; es decir, no hay una transferencia coactiva y temporal de la titularidad de las viviendas. En la norma aragonesa no hay privación del derecho de propiedad a los legítimos titulares de las viviendas desocupadas, sino imposición del deber de arrendarlas a quienes diga la Administración autonómica, que se autoobliga también a abonarles la diferencia entre la renta máxima que se considere puede pagar la persona o unidad de convivencia, y la aplicable a la vivienda de que se trate. El Gobierno aragonés no ha previsto tampoco sanciones para las entidades financieras, las sociedades inmobiliarias bajo su control, y la SAREB por el hecho de no dar ocupación efectiva a sus viviendas; sólo ha previsto la obligación de que dichas entidades las cedan a la Administración de la Comunidad Autónoma cuando estén desocupadas, siendo el incumplimiento de la obligación de cesión lo que resulta ejecutable forzosamente, mediante multas coercitivas. Por todo ello, el artículo 12 no es idéntico a ninguno de los preceptos impugnados en las leyes autonómicas sobre esta materia.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procede mantener o levantar la suspensión de la vigencia de los arts. 1, 9, 12, así como las disposiciones transitorias segunda y tercera, y disposición adicional cuarta del Decreto-ley 3/2015, de 15 de diciembre, del Gobierno de Aragón, de medidas urgentes en materia de prestaciones económica de carácter social, pobreza energética y acceso a la vivienda; estos preceptos se encuentran suspendidos en su aplicación como consecuencia de la invocación de los arts. 161.2 CE y 30 de la Ley Orgánica del Tribunal Constitucional (LOTC) por el Presidente del Gobierno en su escrito de interposición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representaciones procesales del Gobierno y del Parlamento de Aragón han solicitado el levantamiento anticipado de la suspensión, conforme ha quedado expresado en los antecedentes, mientras que el Abogado del Estado se opone a esta pretensión, e interesa que se mantenga la suspensión, con una argumentación que, en relación a algunos de los preceptos, es sustancialmente coincidente con la expuesta en los incidentes cautelares que fueron resueltos por este Tribunal con el mantenimiento de la suspensión de los preceptos impugnados de las leyes autonómicas correspondientes, en los AATC 69/2014, de 10 de marzo (en el recurso contra diversos preceptos de la Ley 24/2013, de 2 de julio, de Navarra, de medidas urgentes para garantizar el derecho a la vivienda); 115/2014, de 8 de abril (en el recurso contra diversos preceptos de la Ley 4/2013, de 1 de octubre, de la Comunidad Autónoma de Andalucía, de medidas para asegurar el cumplimiento de la función social de la vivienda); 135/2015, de 21 de julio (en el recurso contra diversos preceptos de la Ley 2/2014, de 20 de junio, de modificación de la Ley 2/2003, de 30 de enero, de vivienda de Canarias y de medidas para garantizar el derecho a la vivienda); 144/2016, de 19 de julio (en recurso contra diversos preceptos de la Ley del Parlamento Vasco 3/2015, de 18 de junio, de vivienda); y 160/2016, de 20 de septiembre (en el recurso de inconstitucionalidad interpuesto contra determinados preceptos de la Ley del Parlamento de Cataluña 24/2015, de 29 de julio, de medidas urgentes para afrontar la emergencia en el ámbito de la vivienda y la pobreza energética).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de levantamiento anticipado de la suspensión, sin esperar el transcurso de los cinco meses previsto en el art. 161.2 CE resulta viable procesalmente. Conforme a nuestra reiterada doctrina al respecto,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AATC 222/1995, de 18 de julio, FJ 1; 75/2010, de 30 de junio, FJ 2; 88/2013, de 23 de abril, FJ 2, y 196/2015, de 18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conforme a la cual la suspensión de la disposición o acto objeto de un conflicto es una medida cautelar dirigida a prevenir las repercusiones perjudiciales que fueran consecuencia de la ejecución de aquellas decisiones durante la tramitación del proceso, por poderse generar situaciones de imposible o difícil reparación para los intereses comprometidos. Es preciso ponderar, de un lado, los intereses en presencia, tanto el general y público como el particular y privado de terceras personas afectadas, y, de otro, los perjuicios de imposible o difícil reparación que la medida, según su sentido, pudiera deparar.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ha destacado nuestra doctrina que esa valoración debe efectuarse mediante el estricto examen de las situaciones de hecho creadas por los preceptos discutidos y al margen de la viabilidad de las pretensiones que en la demanda se formulan, pues la interpretación de las reglas de deslinde competencial que al caso hagan debe, obviamente, quedar diferida a la sentencia que resuelva la controversia competencial. Por último, no es ocioso recordar que no basta para decidir la suspensión la mera invocación de aquellos perjuicios, sino que es preciso demostrar o, al menos, razonar consistentemente su procedencia y la imposible o difícil reparación de los mismos, ya que debe partirse, en principio, de la existencia de una presunción de constitucionalidad en favor de las normas o actos objeto del conflicto (por todos AATC 100/2002, de 5 de junio, FJ 2; 355/2007, de 24 de julio, FJ 2; 225/2009, de 10 de diciembre, FJ 2; 44/2011, de 12 de abril, FJ 2; 86/2012, de 8 de mayo, FJ 2, y 122/2015, de 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fin de abordar el examen de las alegaciones formuladas por la Abogacía del Estado a favor de mantener la suspensión de la vigencia y aplicación de los preceptos recurridos del Decreto-ley 3/2015, de 15 de diciembre, así como las de las representaciones procesales del Gobierno y del Parlamento de Aragón en pro del levantamiento de la misma, resulta conveniente distinguir los dos bloques diferenciados en que pueden encuadrarse los preceptos impugnados: por un lado, el artículo 1 y la disposición transitoria tercera; por otro, los artículos 9, 12, así como la disposición transitoria segunda y disposición adicional cuarta.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 dispone la inembargabilidad de las prestaciones económicas establecidas por la Comunidad Autónoma para atender a colectivos en riesgo de exclusión social, situaciones de urgencia social, necesidades habitacionales de personas sin recursos o necesidades de alimentación escolarización y demás necesidades básicas de menores o personas con discapacidad, cuando ellos y las personas a su cargo carezcan de los medios económicos suficientes. La disposición transitoria tercera contempla la aplicación retroactiva de las disposiciones del Decreto-ley, a los procedimientos de embargo en que, a la entrada en vigor, todavía no se haya acordado o dictado resolución de embargo de las ayudas previstas en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fundamenta su solicitud de mantenimiento de la suspensión, en que la eficacia de los preceptos vendría a introducir inseguridad jurídica en las personas beneficiarias, derivada de la posibilidad de que el recurso fuera posteriormente estimado y debieran devolverse las cantidades declaradas inembargables ya percibidas, lo que produciría graves y evidentes perjuicios económicos en personas que se encuentran ya en grave riesgo de exclusión social. Se alega asimismo que la legislación estatal, en concreto el art. 4 del Real Decreto-ley 9/2015, de 10 de julio, de medidas urgentes para reducir la carga tributaria soportada por los contribuyentes del impuesto sobre la renta de las personas físicas y otras medidas de carácter económico, contempla una medida similar a la prevista en la normativa autonómica, por lo que la coexistencia de dos tipos de normas sobre la misma materia es susceptible de causar inseguridad jurídica en los órganos jurisdiccionales y en la autoridades administrativas, que habrán de discernir cuál de las dos normas han de aplicar.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del Abogado del Estado no pueden ser sin embargo aceptados, pues ya hemos tenido ocasión de señalar que los daños que pudieran producirse a la seguridad jurídica o a los intereses de los afectados derivados de la confluencia entre una regulación estatal y otra autonómica,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(AATC 398/2005, de 8 de noviembre, FJ 6, y 303/2006, de 12 de septiembre, FJ 5,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respecta, en concreto, a la presunta afectación a los intereses de los particulares, lo expuesto por el Abogado del Estado no pasa de ser una alegación genérica e hipotética, vinculada al resultado final del proceso, y carente de un mínimo de sustento argumental sobre la certeza, efectividad y alcance de esos hipotéticos perjuicios; y como ha reiterado este Tribunal, el presente incidente no puede servir para “conjurar riesgos inciertos y desconectados por entero del objeto sobre el que imprescindiblemente ha de versar” (AATC 221/2009, de 21 de julio, FJ 4; y 24/2011, de 3 de marzo, FJ 4). Por las razones expuestas, procede acordar el levantamiento de la suspensión de la vigencia del art. 1 y la disposición transitoria tercera del Decreto-ley 3/2015.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segundo bloque de preceptos impugnados está integrado por los artículos 9, 12, así como la disposición transitoria segunda y disposición adicional cuarta; antes de abordar su examen, resulta oportuno hacer una sintética referencia al contenido de dichos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9 del Decreto-ley 3/2105 declara la suspensión de los lanzamientos en procesos judiciales o extrajudiciales de ejecución hipotecaria de personas en situación de especial vulnerabilidad, cuando su vivienda habitual se adjudique al acreedor o a un tercero por él propuesto, hasta que se ofrezca una alternativa habitacional por parte de la Administración. Este precepto será de aplicación a los procesos judiciales o extrajudiciales de ejecución hipotecaria iniciados a la entrada de la disposición reglamentaria que defina el marco de especial vulnerabilidad, siempre que en dicha fecha no se hubiere ejecutado el lanzamiento (disposición transitoria segunda).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12 dispone la cesión de viviendas desocupadas situadas en Aragón, que sean propiedad de entidades financieras, sociedades inmobiliarias bajo su control y la Sociedad de Gestión de Activos Procedentes de la Reestructuración Bancaria, S.A., y que provengan de un procedimiento de ejecución hipotecaria, de pago o dación en pago de deudas con garantía hipotecaria. Éstas deberán ser puestas a disposición de la Comunidad Autónoma, cuando sea necesario para dar satisfacción a las necesidades de alojamiento de personas o unidades de convivencia en situación de vulnerabilidad. El órgano competente designará a los destinatarios de dichas viviendas y la entidad titular de la vivienda estará obligada a otorgar título suficiente para el uso, bajo la fórmula preferente de arrendamiento o, excepcionalmente otras que resulten admisibles en derecho, garantizando la correspondiente contraprestación. En caso de incumplimiento o demora por parte de la entidad titular de la vivienda, de las obligaciones de cesión previstas, se contempla la posibilidad de imposición de multas coercitivas.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disposición adicional cuarta determina la obligación de que las medidas contempladas en el código de buenas prácticas para la reestructuración viable de las deudas con garantía hipotecaria sobre la vivienda habitual (Real Decreto-ley 6/2012, de 9 de marzo, de medidas urgentes de protección de deudores hipotecarios sin recursos) se desarrollen dentro del sistema de mediación hipotecaria implantado por las Administraciones públicas aragonesas.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contenido de los preceptos impugnados es muy similar, aunque no coincida exactamente, con el de las leyes autonómicas en materia de vivienda antes citadas, también recurridas antes este Tribunal y respecto de las que han recaído los citados AATC 69/2014; 115/2014, 135/2015, 144/2016, y 160/2016. La norma aragonesa comparte con la normativa autonómica impugnada la previsión de medidas de suspensión de lanzamientos en determinadas circunstancias; la cesión forzosa de viviendas, y la inferencia en el código de buenas prácticas establecido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daños y perjuicios de imposible o difícil reparación invocados en este caso por el Abogado del Estado son los mismos que se pusieron de manifiesto y se valoraron por este Tribunal en los referidos AATC 69/2014, 115/2014, 32/2015, 135/2015, y 144/2016. No habiendo las partes traído a colación nuevos elementos entonces no considerados, el resultado de nuestra ponderación debe ser el mismo que entonces, y en consecuencia, debe mantenerse la suspensión de los arts. 9, 12, la disposición transitoria segunda y disposición adicional cuarta del Decreto-ley 3/2015, por las razones expuestas en los Autos de este Tribunal citados, que son, de forma sucinta, y proyectadas al presente caso,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Existe un perjuicio cierto para el interés general que subyace en el buen funcionamiento y estabilidad del sistema financiero en su conjunto; en la medida en que los preceptos impugnados inciden, aunque en términos cuantitativamente reducidos, en el sistema financiero en su conjunto, generan una desconfianza en el sistema crediticio globalmente considerado, ponen en riesgo la estabilidad del sistema financiero, producen un menoscabo en la reestructuración bancaria apoyada con dinero público y en el cumplimiento por España de sus compromisos internacionales. Se advierte también del efecto acumulativo de dichos perjuicios, al sumarse a lo previsto por las otras leyes autonómicas en materia de vivienda anteriormente mencionadas que han sido impugnadas también por el Presidente del Gobierno (AATC 69/2014, FFJJ 5, 6 y 7; 115/2014, FJ 5; 131/2015, FJ 3, y 144/2016,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perjuicios para los intereses públicos se producen, según los informes del Banco de España y del Ministerio de Economía y Competitividad que han sido aportados por la Abogacía del Estado, “en aplicación del conjunto de medidas contenidas en los preceptos impugnados y no como consecuencia de cada una de ellas por separado, lo que determina la improcedencia a estos efectos de un examen individualizado de los mismos por su inescindible conexión y repercusión en el sistema financiero en su conjunto” (AATC 69/2014, FJ 7, y 144/2016, FJ 5). Desde la óptica que nos ocupa poco importa que el programa de asistencia financiera a España, acordado por el Eurogrupo el 9 de julio de 2012 (memorando de entendimiento sobre condiciones de política sectorial financiera firmado el 20 de julio de 2012) con una duración de 18 meses, haya llegado a su fin de un modo satisfactorio. Las condiciones impuestas, lejos de estar consumadas, siguen vigentes y desplegando sus efectos, que han de sujetarse a los compromisos asumidos por España dentro de la Unión Europa, en particular en lo relativo a las ayudas de Estado. En el marco de esta supervisión las autoridades europeas competentes ya han examinado medidas legislativas autonómicas similares a las contenidas en el Decreto-ley 3/2015; expresan su preocupación en cuanto que dichas medidas han generado incertidumbres legales y económicas sobre los bancos españoles, con posibles efectos negativos sobre la estabilidad del sistema financiero español en su conjunto, tanto de forma directa como indirecta. En particular, han destacado el potencial impacto negativo de las iniciativas autonómicas de protección de los deudores hipotecarios para las actividades de la Sociedad de Gestión de Activos Procedentes de la Reestructuración Bancaria. Esos argumentos de las autoridades europeas son compartidas por el Banco de España, como se refleja en el documento adjunto que aporta junto a su escrito de alegaciones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Asimismo se produciría un daño para la seguridad jurídica, que no deriva de que las actuaciones de la Administración de la Comunidad Autónoma puedan quedar en entredicho si la resolución de fondo que se dicte en el recurso de inconstitucionalidad fuera favorable al Estado, sino de la mera convivencia sobre una misma realidad material de regímenes jurídicos dispares con idéntico objetivo (AATC 69/2014, FJ 8; 131/2015, FJ 3, y 144/2016,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debe tenerse en cuenta que, como se recuerda en la STC 93/2015, de 14 de mayo, “el Estado ha dictado una normativa en la que, incidiendo de un modo limitado en el sistema de ejecución hipotecaria, atiende a la situación de quienes, por habitar viviendas constituidas como colateral de un préstamo que ha quedado impagado, están en riesgo de perderla. Adoptó al efecto el Real Decreto-ley 27/2012, de 15 de noviembre, que luego se ha convertido, en virtud de la tramitación parlamentaria como proyecto de ley, en la Ley 1/2013, de 14 de mayo, de medidas para reforzar la protección a los deudores hipotecarios, reestructuración de deuda y alquiler social; ha sido modificada parcialmente por el art. 3 del Real Decreto-ley 1/2015, de 27 de febrero, de mecanismo de segunda oportunidad, reducción de carga financiera y otras medidas de orden social”, posteriormente convertido en la Ley 25/2015, de 28 de julio. “estas previsiones tienen una conexión relevante con el objetivo de normalizar los mercados hipotecarios y con ello asentar el funcionamiento del sistema financiero” y con las mismas el Estado define “la extensión de la intervención pública de protección de personas en situación de vulnerabilidad que considera compatible con el adecuado funcionamiento del mercado hipotecario y, a la vez, para evitar que el equilibrio que juzga oportuno se quiebre, impide que las Comunidades Autónomas en ejercicio de sus competencias propias adopten disposiciones que, con este mismo propósito de tutela, afecten de un modo más intenso a dicho mercado” (STC 93/2015, FJ 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perjuicios derivados de la suspensión y consistentes en el menoscabo del interés público al que responde la norma autonómica, esto es, la garantía del derecho a la vivienda y el interés privado de los colectivos más vulnerables que se verían beneficiados, resultan notoriamente reducidos, porque el Estado también ha dispuesto normas que atienden a estos mismos intereses (AATC 69/2014, FJ 9; 115/2014, FJ 5; 32/2015, FJ 6; 135/2015, FJ 3, y 144/2016,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el caso, como se recuerda en el ATC 69/2014, FJ 9, del ya citado Real Decreto-ley 27/2012, de 15 de noviembre, de medidas urgentes para reforzar la protección a los deudores hipotecarios (derogado tras ser tramitado como ley por la igualmente citada Ley 1/2013, de 14 de mayo, de medidas para reforzar la protección a los deudores hipotecarios, reestructuración de deuda y alquiler social, modificada parcialmente por el Real Decreto-ley 1/2015, de 27 de febrero, de mecanismo de segunda oportunidad, reducción de carga financiera y otras medidas de orden social), en el que se contempla, entre otras medidas, la suspensión inmediata y por un plazo de dos años de los desahucios de las familias que se encuentren en una situación de especial riesgo de exclusión. Además, con base en el mandato contenido en la disposición final primera del Real Decreto-ley 27/2012, de 15 de noviembre, el Gobierno y las entidades de crédito firmaron un convenio para la creación de un fondo social de viviendas, propiedad de las entidades, ofrecidas en régimen de alquiler social a personas en situación de especial vulnerabilidad que hubieran sido desalojadas de su vivienda habitual por el impago de un préstamo hipotecario.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disposiciones reseñadas cabría añadir otras de no menor relevancia, como el Real Decreto-ley 6/2012, de 9 de marzo, de medidas urgentes de protección de deudores hipotecarios sin recursos, el Real Decreto 27/2012, de 15 de noviembre, de medidas urgentes para reforzar la protección a los deudores hipotecarios y el plan estatal de fomento del alquiler de viviendas, la rehabilitación edificatoria, la regeneración y renovación urbanas 2013-2016, aprobado por Real Decreto 233/2013, de 5 de abril. El Estado ha aprobado también el Real Decreto-ley 1/2015, de 27 de febrero, del mecanismo de segunda oportunidad, reducción de carga financiera y otras medidas de orden social, luego convertido en la Ley 25/2015, de 28 de julio, que contiene medidas de diferente naturaleza encaminadas tanto a la protección de aquellos deudores de un crédito o préstamo garantizado con hipoteca sobre su vivienda habitual, como a ampliar la protección de colectivos especialmente vulnerables. Entre esas medidas cabe destacar la segunda oportunidad en el ámbito concursal para deudores de buena fe con cargas, que incluye, por primera vez, a las personas físicas; la suspensión de las ejecuciones durante el plazo de negociaciones; la ampliación del colectivo protegido por el código de buenas prácticas para deudores hipotecarios y la prórroga adicional de los desahucios (que vencía en mayo de 2016) por dos años más. En relación a esto último, la disposición adicional cuarta, al obligar al empleo de la mediación allí donde el Estado no la ha previsto, alterando la configuración del código de buenas prácticas regulado en el Real Decreto-ley 6/2012, impone un mecanismo de resolución extrajudicial de conflictos que afecta a las medidas articuladas por el Estado para la protección de los deudores hipotecarios.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código implantado por el citado Real Decreto-ley 6/2012 se fundamenta en la adhesión voluntaria de las entidades de crédito y contiene un régimen concreto sobre el modo en que ha de articularse la relación entre la entidad de crédito y el deudor, con la finalidad de lograr la reestructuración de la deuda, la quita o, finalmente, la dación en pago. Es decir, la norma estatal configura un sistema basado en la relación directa entre la entidad de crédito y el deudor hipotecario que se ve aquí puesto en cuestión por la decisión autonómica de que dichas negociaciones con el deudor hipotecario se desarrollen en un marco institucional determinado en el que se impone la intervención de un tercero, el mediador. Obliga, por tanto, al empleo de la mediación allí donde el Estado no lo ha previsto, alterando de ese modo la configuración del propio código de buenas prácticas regulado en el Real Decreto-ley 6/2012, con el consiguiente riesgo para que la norma estatal pueda desplegar sus efectos en la forma que ha sido diseñada. Riesgo de interferencia en una medida adoptada por el Estado para proteger a los deudores hipotecarios que ha de conducir al mantenimiento de la suspensión de la disposición adicional cuarta.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suma, procede reiterar la misma conclusión sentada en los AATC 69/2014, FJ 10, 115/2014, FJ 5, 144/2016, FJ 5, y 160/2016, FJ 4, en cuanto que “los razonamientos expuestos permiten concluir que en la ponderación de los intereses en presencia, y subrayando la especial relevancia de la medida de política económica general de estabilidad del sistema financiero, que tiene un indudable interés público prevalente, y la proyección de esta materia en el contexto internacional, apreciemos que debe mantenerse la suspensión de los preceptos impugnados, sin que la medida adoptada implique, en este caso concreto, un relevante menoscabo del resto de los intereses en presencia”.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arts. 9, 12, así como de las disposiciones transitoria segunda y adicional cuarta, del Decreto-ley 3/2015, de 15 de diciembre, del Gobierno de Aragón, de medidas urgentes en materia de prestaciones económica de carácter social, pobreza energética y acceso a la vivienda.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del art. 1 y la disposición transitoria tercera del Decreto-ley 3/2015.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la Magistrada doña Adela Asua Batarrita y los Magistrados don Fernando Valdés Dal-Ré y don Juan Antonio Xiol Ríos, al Auto de 31 de enero de 2017, dictado en el incidente de suspensión del recurso de inconstitucionalidad núm. 4952-2016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todo el respeto que nos merece la opinión de la mayoría, debemos manifestar nuestra discrepancia con el mantenimiento de la suspensión de los artículos 9 y 12 y las disposiciones transitoria segunda y adicional cuarta del Decreto-ley 3/2015, de 15 de diciembre, del Gobierno de Aragón, de medidas urgentes en materia de prestaciones económicas de carácter social, pobreza energética y acceso a la vivienda, impugnados en este proceso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disposiciones mencionadas presentan un contenido similar al de los preceptos, también recurridos ante este Tribunal, de la Ley Foral 10/2010, de 10 de mayo, de derecho a la vivienda en Navarra; de la Ley 4/2013, de 1 de octubre, de la Comunidad Autónoma de Andalucía, de medidas para asegurar el cumplimiento de la función social de la vivienda; de la Ley 2/2014, de 20 de junio, de modificación de la Ley 2/2003, de 30 de enero, de vivienda de Canarias y de medidas para garantizar el derecho a la vivienda; de la Ley del Parlamento Vasco 3/2015, de 18 de junio, de vivienda; y de la Ley del Parlamento de Cataluña 24/2015, de 29 de julio, de medidas urgentes para afrontar la emergencia en el ámbito de la vivienda y la pobreza energética.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intereses que podrían verse afectados por el levantamiento de la suspensión de la Ley autonómica que, en este incidente, alega el Abogado del Estado son, como se reconoce en los fundamentos jurídicos 1 y 4, los mismos que expuso en los incidentes de suspensión que dieron lugar a los AATC 69/2014, de 10 de marzo, 115/2014, de 8 de abril, 135/2015, de 21 de julio, 144/2016, de 19 de julio, y 160/2016, de 20 de septiembre.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consecuencia, por las mismas razones que pusimos de manifiesto en los votos particulares que suscribimos en dichos casos y a las que ahora nos remitimos, creemos que no ha quedado acreditado que la inmediata aplicación del Decreto-ley 3/2015 pueda acarrear más daño al interés general que el derivado de la contradicción denunciada con la legislación estatal. Ello no es, sin duda, razón suficiente para enervar la presunción de validez de las disposiciones legales autonómicas. De ahí que el Auto del que discrepamos debiera haber acordado el levantamiento de la suspensión.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Debemos insistir, una vez más, en que el presente Auto, que rechaza el levantamiento de la suspensión de la mayoría de los preceptos impugnados, se fundamenta en la misma concepción sobre la afectación directa al mercado hipotecario y el consiguiente riesgo para la estabilidad del sistema financiero que se mantuvo hace tres años (ATC 69/2014, de 10 de marzo), sin tener en cuenta los cambios desde entonces y la reconocida mejoría de la situación macroeconómica en España. Sin embargo, el Auto asume el argumento del Abogado del Estado de la necesidad de cumplir con las condiciones impuestas al Estado en el ámbito europeo (se sobreentiende que se refiere a la devolución de la ayuda financiera recibida del Mecanismo Europeo de Estabilidad), lo cual, en la práctica, proyecta sobre futuras medidas autonómicas en relación con las viviendas desocupadas una especie de moratoria por un prolongado espacio temporal que podría extenderse hasta los quince años. Ello constituye una concepción altamente perturbadora para el ejercicio efectivo de la competencia autonómica exclusiva en materia de vivienda.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treinta y uno de enero de dos mil diecisiete.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