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3313-2017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junio de 2017, la Procuradora de los Tribunales doña Cayetana de Zulueta Luchsinger, en nombre y representación de don Víctor Diego Villalva y don Santiago Cabezuela García, y bajo la dirección del Letrado don Miguel Durán Campos, interpuso recurso de amparo contra el Auto de la Sala de lo Penal del Tribunal Supremo de 4 de mayo de 2017, por el que se desestima el incidente de nulidad de actuaciones interpuesto contra las Sentencias núm. 983/2016, de 11 de enero de 2017 —aclaradas por Auto de 7 de febrero de 2017—, por las que se estima el recurso de casación núm. 722-2016 interpuesto contra la Sentencia de la Sección Trigésima de la Audiencia Provincial de Madrid núm. 61/2016, de 19 de febrero de 2016, dictada en el procedimiento abreviado núm. 313-2015, y se condena a los recurrentes por un delito de desórdenes públicos en concurso ideal con impedimento del derecho de reunión con la agravante de obrar por motivos de discriminación ideológica a la pena de prisión de dos años y diez meses con la accesoria de inhabilitación especial para el derecho de sufragio pasivo durante el periodo de la condena y por un delito de daños ocasionados en bienes de propiedad pública con la agravante de obrar por motivos discriminatorios ideológicos y la atenuante de reparación del daño a la pena de prisión de un año y un mes y multa de catorce meses con cuota diaria de 10 € y responsabilidad personal subsidiaria en caso de impago de la multa de un día de privación de libertad por cada dos cuotas de la multa no abonadas, al pago de las 2/79 partes de las costas del juicio, incluidas las de las acusaciones particulares y al pago conjunto y solidario de responsabilidades civiles en las cantidades de 1.372,14 € y 94,2 € para dos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en lo relativo a las penas privativas de libertad impuestas a los recurrentes, argumentando que de la ejecución se derivan perjuicios irreparables si se estima el recurso de amparo, siendo inexistentes los perjuicios para terceros o el interés general, ya que concurren las circunstancias de que las penas impuestas son inferiores a los cinco años, los recurrentes están en libertad y carecen de antecedentes penales, no existen riesgo para las víctimas que, además, se han visto reparadas en los daños producidos, contando con arraigo que ha provocado que durante la causa no se hayan adoptado medidas cautelares de naturaleza personal, habiéndose estado en todo momento a disposición del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probados en que se fundamenta la condena cuya suspensión se solicita fueron que el 11 de septiembre de 2013, la Delegación del Gobierno de la Generalitat de Cataluña ante el Gobierno del Estado organizó un acto oficial para celebrar la Diada en el centro cultural Blanquerna, propiedad de la Generalitat. El acto comenzaba a las 19:30 horas y su celebración se difundió por las redes sociales. Un grupo de personas afiliadas o simpatizantes de Democracia Nacional, Falange, Nudo Patriota Español y Alianza Nacional convocó una protesta, para lo que convinieron reunirse en la puerta del citado centro. Se congregaron unas 200 personas y cuando el Delegado de la Generalitat se dirigía al atril para tomar la palabra y presentar el acto, accedió al local un grupo de las personas que estaban congregadas afuera, entre ellas los recurrentes. Con la finalidad de impedir la celebración del acto, actuando de forma conjunta, accedieron en tropel a la planta a pie de calle, donde se encuentra la librería abierta al público, y rompieron la puerta automática de cristal de entrada causando daños tasados en 1.372,14 €. Desde ella descendieron por las escaleras a la planta inferior, donde se iba a desarrollar el acto, coreando “no nos engañan Cataluña es España”. El grupo se fue abriendo paso hacia el atril entre los asistentes, que se apartaban, pero en un instante empujaron y derribaron al suelo a uno de los asistentes, diputado en el Congreso de los Diputados, sin que constara que conocieran su identidad. En el estrado uno de los condenados arrojó al suelo de un manotazo la señera, otro golpeó el micrófono situado en el atril y otro arrojó al suelo el atril, ante el que se mantenía el Delegado de la Generalitat, cuya identidad desconocía, y a él se dirigió con insultos relativos a su condición de catalán y amenazas de muerte, que le obligaron a retroceder. Otro de los asistentes fue escupido y recibió una patada. Tras poco más de un minuto, el grupo abandonó el local. Uno de sus integrantes arrojó un espray irritante que provocó picores, irritación, náuseas y otros menoscabos en los asistentes, lo que obligó a suspender el acto. Cuando el grupo estaba saliendo de la sala, otro de los condenados dio un manotazo a la cámara con la que grababa el acto un trabajador de TV3, que al impactar contra su cuerpo le obligó a efectuar un movimiento brusco que le produjo contusión postraumática en el hombro derecho, de la que curó en nueve días con una primera asistencia facultativa.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entre otros motivos, las vulneraciones del derecho a un proceso con todas las garantías (art. 24.2 CE), por haberse producido una agravación de la condena en segunda instancia en ausencia de inmediación y sin oír al recurrente; y del principio acusatorio, por haberse impuesto una condena de distinta naturaleza y pena mayor a la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16 de noviembre de 2017, acordó la admisión a trámite de la demanda de amparo, apreciando que concurre en el mismo una especial trascendencia constitucional (art. 50.1 de la Ley Orgánica del Tribunal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la formación de pieza separada para la tramitación del incidente sobre la suspensión solicitada, concediendo a los recurrentes y al Ministerio Fiscal el plazo común de tres días naturales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20 de noviembre de 2017, presentó alegaciones en las que, enunciando la jurisprudencia de este Tribunal sobre el particular, interesó la suspensión de la penas privativas de libertad y accesorias de derechos. Argumenta que la denegación de la suspensión causaría a los recurrentes un perjuicio irreparable o de muy difícil restitución que podría hacer perder al amparo su finalidad por tratarse de unas penas que acumuladas no superan los cinco años de prisión y que no cabe apreciar una perturbación grave a los intereses generales o derechos fundamentales o libertades públicas de un tercero, más allá del genérico que toda inejecución de una resolución judicial supone, constatándose la circunstancia de arraigo a los efectos de valorarse el posible interés en sustraerse a la acción de la justicia. Por el contrario, considera que no debe accederse a suspender la condena a las penas de multa y al pago de las costas procesales por su carácter de consecuencia jurídica de carácter económico que son susceptibles de reparación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por escrito registrado el 17 de noviembre de 2017, presentaron alegaciones reiterando la solicitud de suspensión por los razonamientos expresados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analizar la solicitud de suspensión de la ejecución de la segunda Sentencia de la Sala de lo Penal del Tribunal Supremo núm. 983/2016, de 11 de enero de 2017 —aclarada por Auto de 7 de febrero de 2017—, en lo relativo a las penas privativas de libertad que se imponen a los recurrentes, únicas cuya suspensión ha sido solicitada. En concreto, en dicha Sentencia las penas privativas de libertad que se han impuesto a los recurrentes son (i) la pena de prisión de dos años y diez meses por la comisión de un delito de desórdenes públicos en concurso ideal con impedimento del derecho de reunión con la agravante de obrar por motivos de discriminación ideológica; y (ii) la pena de prisión de un año y un mes por la comisión de un delito de daños ocasionados en bienes de propiedad pública con la agravante de obrar por motivos discriminatorios ideológicos y la atenuante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la Ley Orgánica del Tribunal Constitucional (LOTC) dispone que la interposición de un recurso de amparo no suspenderá los efectos del acto o Sentencia impugnados, concretando el artículo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94/2015, de 25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El carácter prevalente y especialmente preciado de este derecho impone que cualquier decisión respecto de la suspensión de la ejecución efectiva de cualquier restricción, limitación y privación del mismo deba ser adoptada con un singular cuidado y respeto al principio de proporcionalidad en atención a que “la libertad constituye un derecho cuya naturaleza convierte el perjuicio irrogado en irreparable, en caso de estimarse el amparo una vez cumplida parcial o totalmente la pena” (ATC 291/2014, de 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ese modo, este Tribunal ha establecido que en el marco de los recursos de amparo la decisión que debe adoptar de suspensión de las resoluciones judiciales que imponen penas privativas de libertad constituye un juicio complejo en que hay que tomar en consideración diversos factores como son (i) la gravedad y naturaleza de los hechos enjuiciados en atención al bien jurídico protegido y su trascendencia social; (ii) la duración de la pena impuesta; (iii) el tiempo que reste de cumplimiento de la misma; y (iv) la concurrencia de riesgos sobre la efectividad de la acción de la Justicia y la posible desprotección de las víctimas. Entre estos factores, este Tribunal ha destacado que tiene especial relevancia el referido a la duración de la pena impuesta, pues es un criterio que expresa de forma sintética la reprobación que el ordenamiento asigna al hecho delictivo —la importancia del bien jurídico tutelado, la gravedad y trascendencia social del delito— y, en consecuencia, la magnitud del interés general en su ejecución. Así, este Tribunal ha adoptado como una directriz general que la pena se sitúe por encima o por debajo de la frontera de los cinco años de prisión, por ser el límite que ha establecido el propio legislador penal para diferenciar entre las penas graves y las menos graves (art. 33 del Código penal); así, por ejemplo, AATC 52/2017, de 18 de abril, FJ 1, o 35/2017, de 27 de febrero, FJ 2. Del mismo modo, este Tribunal también ha afirmado que la suspensión de la pena privativa de libertad debe conllevar la suspensión de las penas accesorias de inhabilitación que lleven a aparejadas (AATC 52/2017, de 18 de abril, FJ 1, o 49/2016, de 29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 acuerdo con lo también defendido por el Ministerio Fiscal, concurren los requisitos que exige la jurisprudencia constitucional para otorgar la suspensión de la ejecución en cuanto a las penas privativas de libertad y las penas accesorias a las establecidas legalmente para la imposición de las penas privativas de libertad. Su ejecución puede ocasionar a la recurrente perjuicios irreparables que harían perder al amparo su finalidad tanto por afectar al valor fundamental de la libertad como porque el resto de circunstancias concurrentes en el caso permiten apreciar que la suspensión no ocasiona una perturbación grave a un interés constitucionalmente protegido ni a los derechos fundamentales o libertades públicas de otra persona. Al margen de la perturbación de la función jurisdiccional que en sí mismo entraña la suspensión de la ejecución de una resolución judicial, no se acreditan riesgos ciertos sobre la efectividad de la acción de la Justicia, ya que los recurrentes han estado a plena disposición de los órganos judiciales, que no adoptaron ninguna medida cautelar de naturaleza personal durante la tramitación de la causa que permita ahora concluir que el eventual aplazamiento en el cumplimiento de la pena que implica una suspensión mientras se tramita el recurso de amparo pueda hacer ineficaz el pronunciamiento condenatorio en caso de ser rechazado el recurso de amparo. También consta que se ha hecho frente al pago de las responsabilidades civiles fijadas y hubo lugar a la aplicación de la atenuación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garantizar la efectividad del cumplimiento de la pena se procederá en el plazo más breve a resolver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