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9 de mayo de 2017, el Procurador de los Tribunales don Fernando María García Sevilla, en nombre y representación de doña Nuria Soledad Prieto Medina, interpuso recurso de amparo por vulneración del artículo 24.1 CE contra la Sentencia de la Sección Séptima de la Sala de lo Contencioso-Administrativo de la Audiencia Nacional de 10 de octubre de 2016, dictada en materia de providencia de apremio por determinadas liquidaciones tributarias, y la providencia de la Sala de lo Contencioso-Administrativo del Tribunal Supremo de 15 de marzo de 2017, que inadmitió a trámite el recurso de casación interpuesto frente a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origen de la controversia tenía como objeto una escritura de manifestación de herencia, otorgada en 2004, que se presentó con modelo de liquidación del impuesto de sucesiones ante la Administración tributaria de Madrid. Dictada propuesta de liquidación y sin que constara realización de pago, se inició el procedimiento ejecutivo, notificándose a la interesada ahora recurrente providencias de apremio que impugnó por falta de notificación de la deuda en periodo voluntario y prescripción, todo lo cual, tras la intervención del Tribunal económico-administrativo regional de Madrid y el Tribunal económico-administrativo central, que consideró en resolución de 26 de noviembre de 2014 que los intentos de notificación que se habían llevado a cabo interrumpían la prescripción, provocó que la interesada interpusiera recurso contencioso-administrativo contra dicha resolución, dictándose las resoluciones ya citadas y recurridas en amparo, desestimatorias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escrito posterior, registrado el día 26 de mayo de 2017, se solicitó ex artículo 56 de la Ley Orgánica del Tribunal Constitucional la suspensión de la ejecución de la Sentencia recurrida, pues, de otro modo, se dice, el amparo perdería su finalidad. Se argumenta que se vería privada la recurrente del patrimonio que posee y, por tanto, de los medios económicos que ella y su hijo menor, a su cargo, necesitan para vivir. Añade que la Administración tiene garantizado su hipotético y futuro derecho de cobro a través del embargo existente de los bienes de su propiedad y hasta donde estos alcancen, por lo que la suspensión de la ejecución de la Sentencia tiene como propósito la detención de los efectos de la resolución judicial, pero no el alzamiento de los embargos trabados, permitiendo esa decisión evitar todo efecto a la espera de la sentencia constitucional que eventualmente le concediera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27 de noviembre de 2017, y tras admitir el recurso por providencia fechada en el mismo día, acordó la formación de pieza separada para la tramitación del incidente sobre la suspensión solicitada, concediendo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demandantes de amparo no presentó escrito de alegaciones, según se hace constar en diligencia de la Secretaría de Justicia de 15 de diciembre de 2017. El Ministerio Fiscal, por escrito registrado en este Tribunal el 14 de diciembre de 2017, sí evacuó el trámite, solicitando la denegación de la suspensión al estar caracterizada la resolución recurrida por su contenido económico y no quedar acreditada que la vía de apremio y la ejecución de los bienes trabados por parte de la Administración tributaria para el pago de las liquidaciones correspondientes, con transmisión a terceros de los mismos, concurra en este momento, ni que esté próxima a producirse, siendo por el momento una mera eventualidad futura.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de este Tribunal que, en atención a la naturaleza especial de la jurisdicción de amparo, la suspensión prevista en la Ley Orgánica del Tribunal Constitucional se configura como una medida provisional de carácter excepcional y de aplicación restrictiva, siendo la regla general la improcedencia de la suspensión de las resoluciones de los poderes públicos y, en particular, las judiciales, salvo en los casos en que se acredite de forma fehaciente tanto el carácter irreparable del perjuicio para los derechos fundamentales como la pérdida de la finalidad del amparo en caso de mantenerse la ejecución de la resolución. Resulta, en definitiva, que la protección del interés general que subyace a la ejecución de lo juzgado debe ceder únicamente en aquellos supuestos en los que, de no acordarse la suspensión, el amparo perdería toda finalidad, lo que explica que, en principio, sólo proceda suspender aquellos pronunciamientos judiciales que no admiten la reparación o la restitución íntegra de lo ejecutado (por todos, AATC 199/2010, de 21 de diciembre, FJ 1, y 236/2013, de 21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que, por más que puedan producir efectos desfavorables a quien demanda amparo,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(entre tantos otros, ATC 81/2012, de 7 de mayo,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en el en el ATC 81/2012, FJ 2, recién citado, se ha acordado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(por ejemplo, ATC 26/2011, de 14 de marzo, FJ 1). En resumen, la irreparabilidad es pacíficamente aceptada en casos de embargo y adjudicación a un tercero de buena fe de ciertos bienes inmuebles o por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es doctrina constante del Tribunal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(recientemente, ATC 160/2017,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la recurrente arguye que debe concederse la suspensión por la irreparabilidad del perjuicio económico. Esgrime los riesgos para su patrimonio y las consecuencias que tendría la privación del mismo para el mantenimiento económico de ella y de su hijo menor. Sin embargo, no concurre ninguna de las circunstancias expuestas para acordar la suspensión interesada, toda vez que, como acertadamente pone de manifiesto el Ministerio Fiscal en sus alegaciones, no acredita la irreparabilidad de los supuestos perjuicios. En efecto, se nos solicita la suspensión de la Sentencia impugnada únicamente para prevenir una eventualidad futura, cual es la posibilidad de que la Administración tributaria ejecute los bienes a los que alude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procede acceder en este momento a la suspensión interesada, pues no se acredita la existencia de daños irreversibles o de muy difícil reparación que impidan la efectividad de la restauración en el derecho fundamental vulnerado, en caso de un eventual otorgamiento del amparo. Todo ello sin perjuicio de que, como también señala el Ministerio Fiscal en sus alegaciones, si efectivamente la Administración tributaria iniciase el procedimiento de ejecución, pueda la recurrente solicitar de nuevo la suspensión de la Sentencia impugnada (en ese sentido, por todos, ATC 152/2006, de 8 de mayo, FFJJ 3 y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