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4403-2017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artículos 20 y 24, así como de la disposición transitoria segunda de la Ley 10/2016, de 1 de diciembre, de medidas de emergencia en relación con las prestaciones económicas del Sistema público de servicios sociales y con el acceso a la vivienda en la Comunidad Autónoma de 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12 de septiembre de 2017, el Abogado del Estado, en representación del Presidente del Gobierno, interpuso recurso de inconstitucionalidad contra los artículos 3; 5, apartados primero a cuarto; vigésimo y vigesimocuarto; inciso final de la disposición adicional primera; disposición adicional quinta y las disposiciones transitorias segunda y tercera de la Ley de las Cortes de Aragón 10/2016, de 1 de diciembre, de medidas de emergencia en relación con las prestaciones económicas del Sistema público de servicios sociales y con el acceso a la vivienda en la Comunidad Autónoma de Aragón. Norma que fue publicada en el “Boletín Oficial de Aragón” núm. 237, el 12 de diciembre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se invocan los artículos 161.2 CE y 30 de la Ley Orgánica del Tribunal Constitucional (LOTC) a fin de que se produzca la suspensión de la aplicación exclusivamente de los artículos 20 y 24, y de la disposición transitoria segunda de la Ley 10/2016, de 1 de diciembre, de medidas de emergencia en relación con las prestaciones económicas del Sistema público de servicios sociales y con el acceso a la vivienda en la Comunidad Autónoma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octubre de 2017, el Pleno del Tribunal Constitucional, a propuesta de la Sección Cuarta, acordó admitir a trámite el recurso de inconstitucionalidad, dar traslado de la demanda y documentos presentados, conforme establece el artículo 34 LOTC, al Congreso de los Diputados y al Senado, así como a la Diputación General de Aragón y a las Cortes de Aragón, al objeto de que en el plazo de quince días pudieran personarse en el proceso y formular las alegaciones que estimaren convenientes. Asimismo, se tuvo por invocado por el Presidente del Gobierno el artículo 161.2 LOTC, lo que, a su tenor y conforme dispone el artículo 30 LOTC, produce la suspensión de la vigencia y aplicación exclusivamente de los preceptos citados en el escrito de interposición, esto es de los artículos 20 y 24, así como de la disposición transitoria segunda de la Ley de las Cortes de Aragón 10/2016, de 1 de diciembre, desde la fecha de interposición del recurso —12 de septiembre de 2017— para las partes del proceso y desde el día en que apareciera publicada la suspensión en el “Boletín Oficial del Estado” para los terceros, lo que se comunicó a los Presidentes de la Diputación General de Aragón y de las Cortes de Aragón. Por último, también se ordenó publicar la incoación del recurso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Congreso de los Diputados, mediante escrito registrado el día 19 de octubre de 2017, comunicó que la Mesa de la Cámara, en su reunión del 17 de octubre anterior, había acordado la personación en este procedimiento y dio por ofrecida su colaboración a los efectos del artículo 88.1 LOTC. Por escrito de la misma fecha, el Presidente del Senado se expresó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20 de octubre de 2017, la Letrada de las Cortes de Aragón, en la representación que legalmente ostenta de estas, presentó escrito de personación y solicitó una prórroga del plazo otorgado para formalizar el escrito de alegaciones. Por providencia de 23 de octubre de 2017, el Pleno acordó incorporar a las actuaciones el escrito presentado y prorrogar el plazo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2 de noviembre de 2017, la Letrada de la Comunidad Autónoma de Aragón, en la representación que legalmente ostenta del Gobierno de Aragón, presentó escrito de personación y solicitó una prórroga del plazo otorgado para formalizar el escrito de alegaciones. Por providencia de 6 de noviembre de 2017, el Pleno acordó incorporar a las actuaciones el escrito presentado y prorrogar el plazo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14 de noviembre de 2017, la Letrada de las Cortes de Aragón presentó sus alegaciones solicitando la desestimación del recurso de inconstitucionalidad. Mediante otrosí instó que, sin agotar el plazo de los cinco meses ex artículos 161.2 CE y 30 LOTC, este Tribunal diese audiencia a las Cortes de Aragón para formular alegaciones sobre la pertinencia de ratificar o levantar la suspensión de los artículos 20 y 24, así como de la disposición transitoria segunda de la Ley 10/2016, al amparo de lo dispuesto en el artículo 30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virtud de escrito registrado en este Tribunal el día 21 de noviembre de 2017, la Letrada del Gobierno de Aragón presentó sus alegaciones solicitando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22 de noviembre de 2017, el Pleno acordó incorporar ambos escritos de alegaciones a los autos y, en cuanto a la solicitud formulada por la Letrada de las Cortes de Aragón en el otrosí sobre la suspensión de los preceptos objeto del recurso, oír a las partes personadas y al Abogado del Estado para que, en el plazo de cinco días, expusieran lo que consideraran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las Cortes de Aragón presentó sus alegaciones el día 29 de noviembre de 2017 interesando el levantamiento de la suspensión que pesa sobre los artículos 20, 24 y sobre la disposición transitoria segunda de la Ley 10/2016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en primer lugar, el carácter excepcional del mantenimiento de la suspensión de la vigencia de los preceptos de una ley como premisa básica, pues toda ley de una Comunidad Autónoma goza de presunción de legitimidad, por ser fruto del ejercicio de la autonomía política y de la libre configuración del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la Letrada de las Cortes que recae sobre el Gobierno de la Nación la carga procesal de acreditar, para mantener la suspensión de la ley más allá de los cinco meses previstos constitucionalmente, la concurrencia de los graves prejuicios de imposible o muy difícil reparación que se causarían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analizada la doctrina constitucional sobre suspensión de la normativa autonómica, la Letrada de las Cortes de Aragón realiza una ponderación de las circunstancias del caso, a la luz de dicha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los perjuicios que el Abogado del Estado asocia en su escrito de interposición al levantamiento de la suspensión de los preceptos impugnados ya se contenían en la argumentación recogida en las impugnaciones de otras leyes autonómicas que se adoptaron en su día en materia de vivienda, cuando, sin embargo, la normativa aragonesa contiene medidas distintas que merecen una valoración particularizada, al igual que resulta necesario tener en cuenta, también, el tiempo transcurrido desde las primeras leyes autonómicas en la materia que fueron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la Letrada que las medidas recurridas ya han estado en vigor bastantes meses, sin que se hayan observado perjuicios irreparables para los intereses públicos que legitimen el mantenimiento de la suspensión. Así, las medidas suspendidas han estado en vigor durante 18 meses (del 18 de diciembre de 2015 al 19 de septiembre de 2016, a través de las previsiones contenidas en el Decreto-Ley 3/2015 y del 1 de enero de 2017 hasta el 12 de septiembre de 2017, en virtud de las previsiones impugnadas), pues sólo se impugnaron, tanto las contenidas en el Decreto-ley 3/2015, como las contenidas en la Ley 10/2016, después de haberse acudido al procedimiento previsto en el artículo 33.2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Letrada de las Cortes no parece que la aplicación práctica de las previsiones contenidas en la ley aragonesa puedan tener una potencialidad dañosa en el conjunto del sistema financiero por el solo hecho de que las personas definidas en la ley como grandes propietarios o las entidades financieras con viviendas desocupadas radicadas en Aragón, viviendas procedentes de procedimientos de ejecución hipotecaria, de pago o dación en pago de deudas con garantía hipotecaria, deban, sin perder su titularidad, ponerlas a disposición del sistema de vivienda de la Comunidad Autónoma, obligándose a aceptar como inquilinos de las mismas a las personas seleccionadas por la Administración entre las personas más vulnerables, con necesidad de una vivienda habitual, cuando se haya demostrado la insuficiencia de los convenios de colaboración voluntaria y de las viviendas del sector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escrito de la Letrada de las Cortes, las medidas articuladas por el Estado y las instrumentadas por la Comunidad Autónoma de Aragón en la Ley 10/2016 no son contradictorias entre sí, sino que son fruto del ejercicio de distintas competencias que “tienen elementos de tangencia”, sin que, a su juicio, sea este el momento en el que corresponda analizar la vindicatio potestatis de la normativa estatal, pues, en tal caso, se estaría prejuzgando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 propósito del supuesto de suspensión de los lanzamientos en los procesos judiciales o extrajudiciales de ejecución hipotecaria, en los que se trate de vivienda habitual de persona o unidad de convivencia de buena fe que se encuentren en supuestos de especial vulnerabilidad, medida prevista en el artículo 20 y en la disposición transitoria segunda de la Ley aragonesa 10/2016, ambos impugnados por el Estado, señala el escrito de la Letrada de las Cortes que coincide básicamente con lo ya establecido por el legislador estatal en el artículo 1 de la Ley 1/2013, cuya última modificación fue llevada a cabo por Real Decreto-ley 5/2017, de 17 de marzo, por el que se modifica el Real Decreto-ley 6/2012, de 9 de marzo, de medidas urgentes de protección de deudores hipotecarios sin recursos, y la Ley 1/2013, de 14 de mayo, de medidas para reforzar la protección a los deudores hipotecarios, reestructuración de deuda y alquiler social. Fruto de dicha legislación, hasta 2020 no será posible el lanzamiento, cuando en un proceso de ejecución hipotecaria se adjudique al acreedor la vivienda habitual de personas que se encuentren en situación de especial vulnerabilidad y en las circunstancias económicas previstas también en la Ley estatal 1/2013, por lo que la novedad sustantiva del artículo 20 de la Ley aragonesa 10/2016 se refiere a que hace extensiva dicha suspensión a los procedimientos de desahucio por impago de alquiler cuando, encontrándose la persona o unidad de convivencia en idéntica situación de especial vulnerabilidad, el sujeto que ha iniciado el proceso de lanzamiento cumpla alguna de las condiciones allí especificadas.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ese contexto normativo, alega la Letrada de las Cortes que la suspensión de los lanzamientos prevista por el legislador aragonés y considerada genéricamente (art. 20.1, 20.3, y disposición transitoria segunda) no puede causar ningún perjuicio irreparable a los intereses públicos, sin imputarlo, en su caso, también al artículo 1 de la Ley 1/2013, de 14 de mayo, de la que es reproducción. Y, en cuanto a la ampliación al supuesto de desahucio por impago de alquileres llevada a cabo asimismo por la Ley aragonesa (art. 20.2 y 20.4), no tiene esa potencialidad dañosa, sino que ha sido considerada el complemento indispensable para atribuir verdadera eficacia a la legislación estatal, sin crear una diferencia de trato injustificada entre propietarios y arrendatarios de vivienda habitual objeto de procesos de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 continuación, el escrito de la representante de las Cortes que el entorno económico no es ya tan adverso y el sistema financiero español se ha estabilizado. Los perjuicios alegados por el Abogado del Estado son exagerados, meramente hipotéticos, se fundamentan en consideraciones generales y abstractas, redactadas en 2013 a propósito de las primeras disposiciones autonómicas en la materia y arrastradas en las argumentaciones, que hacen caso omiso a la circunstancia de que el contexto económico ha cambiado.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la Letrada de las Cortes considerando que no pueden invocarse en este caso por el Abogado del Estado los mismos daños y perjuicios de imposible o difícil reparación que se pusieron de manifiesto, genéricamente, como en una cláusula de estilo, y se valoraron por el Tribunal Constitucional en los AATC 69/2014, de 10 de marzo (asunto: Ley del Parlamento de Navarra 24/2013, de 2 de julio, de medidas urgentes para garantizar el derecho a la vivienda en Navarra); 115/2014, de 8 de abril, y 32/2015, de 17 de febrero (ambos en relación con la Ley del Parlamento de Andalucía 4/2013, de 1 de octubre, de medidas para asegurar el cumplimiento de la función social de la vivienda); 135/2015, de 21 de junio (asunto: Ley 2/2014, de 20 de junio, de modificación de la Ley 2/2003, de 30 de enero, de vivienda en Canarias y de medidas para garantizar el derecho a la vivienda); 144/2016, de 19 de julio (asunto: Ley del Parlamento Vasco 3/2015, de 18 de junio, de vivienda); y 160/2016, de 20 de septiembre (asunto: Ley del Parlamento de Cataluña 24/2015, de 29 de julio, de medidas urgentes para afrontar la emergencia en el ámbito de la vivienda y la pobreza energética). Siendo distintas las medidas articuladas por el legislador aragonés y dado el tiempo transcurrido, con la consiguiente mejora del contexto financiero, no pueden decirse iguales los menoscabos de intereses públicos eventualmente derivados de la aplicación de los preceptos impugnados de la Ley 10/2016, por lo que el resultado de la ponderación que ha de realizar el máximo intérprete de la Constitución no debe ser el mismo que entonces.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la Letrada de las Cortes de Aragón que, en la Ley autonómica, no hay expropiación del uso de las viviendas desocupadas de determinadas entidades, es decir, no hay una transferencia coactiva y temporal de la titularidad de las viviendas. Nada de eso sucede en la regulación aragonesa, pues, como determinan los apartados segundo y tercero del controvertido artículo 24, se trata de una puesta de dichas viviendas a disposición de la Administración para que sea esta la que elija a los inquilinos, entre personas o unidades de convivencia de quienes les conste hallarse en situación de vulnerabilidad, quedando, no obstante, inalterada la titularidad de la vivienda. No hay privación del derecho de propiedad a los legítimos titulares de las viviendas desocupadas, sino imposición del deber de arrendárselas a quienes diga la Administración autonómica a cambio de un precio.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considera la Letrada que tampoco puede argumentarse con rigor que la suma de las medidas adoptadas en Aragón con las incluidas en otras leyes autonómicas pudiera ser la que perturbara, por su efecto acumulado, el buen funcionamiento del sistema financiero, dado que las otras leyes fueron suspendidas en su día, con lo que los perjuicios eventualmente acumulados sólo podrían valorarse de levantarse la suspensión de los preceptos de aquellas disposiciones autonómicas que continúan privados de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registrado en este Tribunal con fecha 30 de noviembre de 2017,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Entiende, pues, que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el Abogado del Estado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al respecto, sobre los graves e irreparables perjuicios que habría de ocasionar el levantamiento de la suspensión de la vigencia de los preceptos referidos con fundamento en una serie de informes que acompaña.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destaca el escrito del Abogado del Estado que, en el informe que se acompaña del Ministerio de Economía y Competitividad, se ofrecen las razones que avalan el mantenimiento de la suspensión de las normas impugnadas, teniendo exclusivamente en cuenta los perjuicios de imposible o difícil reparación que su eficacia puede producir. Junto con este documento, se acompañan dos informes, uno emitido por el Banco de España con fecha 8 de septiembre de 2016, y otro emitido por la Sociedad de gestión de activos procedentes de la reestructuración bancaria (SAREB), de fecha 7 de septiembre de 2016, que se aportaron en el procedimiento anterior (recurso de inconstitucionalidad 4952-2016), seguido contra el Decreto-ley 3/2015 porque mantienen, dada la similitud de la Ley, toda su vigencia. Junto a ello se aporta un nuevo documento, del Banco de España, emitido específicamente respecto de la Ley 10/2016, que ratifica la razones expresadas en el caso anterior. Subraya el Abogado del Estado que todas estas instancias referidas, así como la Comisión Europea y el sector financiero (así, las asociaciones que representan a bancos y cajas de ahorro), son unánimes a la hora de valorar negativamente el considerable impacto que esta medida tiene sobre la situación financiera de las entidades, el crédito hipotecario, el mercado de cédulas hipotecarias y los compromisos internacionales asumidos por España, fundamentalmente el memorando de entendimiento firmado el 20 de julio de 2012, y su seguimiento, en el marco de la ayuda financiera otorgada a nuestro país por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dichos informes se acreditan, a juicio del Abogado del Estado, las consecuencias negativas para el interés público y para el sector financiero, en caso de que se levantara la suspensión de la vigencia y aplicación de los preceptos impugnados en este recurso de inconstitucionalidad, resultando especialmente preocupante el impacto de la norma aragonesa en la actividad y en el plan de negocio de la SAREB, instrumento clave del programa de reestructuración del sector financiero español derivado de los compromisos internacionales adquiridos por nuestro país en el marco de la asistencia financiera recibida en 2012, por el efecto acumulativo de las iniciativas autonómicas con el mismo contenido. En concreto, el levantamiento de la suspensión podría acarrear perjuicios de muy difícil reparación, por cuanto, a su entender, afectan de modo directo y expreso a la finalidad y actividad de la SAREB, cuyo éxito es garantía de que la reestructuración de las entidades de crédito, que se ha realizado en los últimos meses, se lleve a cabo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señala el Abogado del Estado, que la eventual aplicación de los preceptos de la Ley impugnada puede determinar un incremento de los costes de reestructuración asumidos por el Estado, sin añadir un mayor nivel de protección social a los deudores hipotecarios sin recursos respecto de la ya garantizada por la normativa estatal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subraya el Abogado del Estado, que el artículo 20 de la norma autonómica introduce en el ordenamiento aragonés un supuesto especial de suspensión automática e incondicionada en los procesos de ejecución hipotecaria que no está previsto en la legislación estatal y que es muy similar al que el Decreto-ley aragonés 3/2015 preveía en su artículo 9, cuyo ámbito de aplicación se ve ahora ampliado, al extenderse la suspensión a los procedimientos de desahucio por impago del alquiler.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régimen de suspensión se completa con la previsión contenida en la disposición transitoria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artículo 24 de la norma autonómica impone a determinados propietarios de viviendas desocupadas un deber jurídico concreto, consistente en cederlas a la Comunidad Autónoma a fin de que esta pueda ponerlas a disposición de personas con necesidad de alojamiento y que se encuentren en situación de vulnerabilidad.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Abogado del Estado cómo la proliferación de normas autonómicas sobre esta extremo ha ocasionado un impacto cada vez más amplio en la estabilidad del sistema financiero español. Tras enumerar las diferentes normas autonómicas similares a la aquí impugnada, recuerda el Abogado del Estado que este Tribunal ha acordado el mantenimiento de la suspensión de la mayoría de los preceptos impugnados y, a tal efecto, reproduce los argumentos recogidos en los AATC 69/2014, FJ 10; 115/2014, FJ 5, y 144/2016, 160/2016.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 a continuación, el escrito del Abogado del Estado los intereses particulares afectados por el mantenimiento de la suspensión y destaca que dicho mantenimiento no causará perjuicio a las personas en situación de especial vulnerabilidad social, pues el Estado ha reaccionado ya ante esta realidad, a lo que agrega que la concurrencia de las medidas adoptadas por la Ley autonómica, lejos de coadyuvar al objetivo de mejorar la situación de las personas que no disponen de vivienda, pueden resultar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examinar las normas dictadas por el Estado para proteger a los colectivos más vulnerables señala el escrito del Abogado del Estado que la norma aragonesa —al igual que las otras normas autonómicas anteriormente referidas— se diferencia fundamentalmente de las normas estatales en la estructura jurídica que soporta las medidas de protección. La normativa de ámbito nacional contempla la suspensión temporal de los procedimientos de ejecución, complementada con un esquema de adhesión voluntaria (código de buenas prácticas). Las normas autonómicas, por su parte, descansan en un procedimiento coercitivo (concretamente, la previsión de un régimen sancionador sobre incumplimientos de la obligación de cesión obligatoria del derecho de uso de viviendas desocupadas en el caso de la norma aragonesa).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la coexistencia de dos regímenes —estatal y autonómico/foral— con idéntica finalidad, pero distinta articulación jurídica, hace previsible que surjan conflictos de aplicación que pongan en riesgo, tanto la deseable seguridad jurídica como la propia finalidad de protección perseguida por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el escrito examinando el fundamento de los perjuicios irreparables al interés general que produciría el levantamiento de la suspensión y que se acreditarían por los informes aportados de la Secretaria General Técnica del Departamento ministerial y del Banco de España. Afirma el Abogado del Estado que la aplicación de la Ley impugnada es susceptible de causar graves perjuicios al sistema financiero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señala, en primer lugar, el riesgo de incumplimiento de los compromisos de nuestro país de carácter internacional, pues, si bien el memorando de entendimiento sobre condiciones de política sectorial financiera de 20 de julio de 2012 (“MoU”) finalizó con éxito en enero de 2014, el Reino de España —mientras no devuelva, al menos, el 75 por 100 de la ayuda financiera recibida del mecanismo europeo de estabilidad (“MEDE”)— se encuentra dentro del denominado marco de vigilancia post-programa.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refiere, la Comisión Europea señaló que el Decreto-ley 6/2013 de la Junta de Andalucía había generado incertidumbres legales y económicas sobre los bancos españoles, con posibles efectos negativos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estas de financiarse mediante cédulas hipotecarias).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Agrega, en este sentido, que la Comisión Europea también destacó el potencial impacto negativo de iniciativas autonómicas de protección de los deudores hipotecarios para las actividades de la SAREB, tanto de forma directa (sanciones por inmuebles deshabitados) como indirecta (por el aumento de la incertidumbre que puede desincentivar las ofertas de potenciales compradores y deteriorar el valor de la cartera de activos de la SAREB). Añade que las inquietudes manifestadas por las autoridades internacionales sobre el impacto de la Ley impugnada son compartidas, también, por el Banco de España, por lo que la aplicación de los preceptos objeto de suspensión de la Ley impugnada puede determinar un incremento de los costes de reestructuración asumidos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nada se opone a que las normas autonómicas contemplen actuaciones complementarias, como, por ejemplo, la financiación con sus recursos económicos a las personas y familias en dificultades, pero lo que no pueden es establecer mecanismos que interfieran y perjudiquen las medidas adoptadas por el Estado. Este criterio ha sido acogido en la STC 93/2015, de 14 de mayo de 2015, cuando, en el fundamento jurídico 18, se hizo mención al menoscabo de las competencias estatales por parte del Decreto-ley 6/2013, dictado por la Junta de Andalucía, de contenido similar a la ley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escrito del Abogado del Estado, la aplicación de algunas disposiciones de la Ley impugnada, y en particular la suspensión de los desahucios y la expropiación temporal del derecho de uso, podrían lastrar las iniciativas de venta de paquetes de activos, en detrimento del objetivo último de la SAREB, y generar mayor incertidumbre por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introducidas por los preceptos impugnados suponen un deterioro de la posición financiera de las entidades de crédito, en tanto que suponen un coste directo para estas o implican un deterioro del valor de determinadas partidas en sus balances. Debe tenerse en cuenta que la ley afecta particularmente a las entidades financieras y, por ello, este sector se verá especialmente afectado en la medida en que recibe, como consecuencia de ejecuciones hipotecarias o de convenios con los deudores hipotecarios, un porcentaje elevado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insiste en que no se trata de una norma aislada, sino que se une a otras similares aprobadas en los últimos años a nivel autonómico que, de mantenerse en vigor, podrían agravar aún más, de forma combinada, los efectos negativos para el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el artículo 24 de la norma aragonesa prevé la cesión obligatoria de viviendas desocupadas, propiedad de entidades financieras, sociedades inmobiliarias bajo su control y la SAREB, por un período no determinado, a fin de incorporarlas al fondo social de vivienda de Aragón y dar respuesta a las necesidades de alojamiento de personas en situación de vulnerabilidad, cuya determinación está pendiente de desarrollo reglamentario. En cuanto a las condiciones económicas en que debe realizarse la cesión de la vivienda a la Administración, la Ley impugnada establece que las rentas aplicables serán determinadas mediante Orden del titular del Departamento competente en materia de vivienda, no pudiendo ser ésta superior al treinta por ciento de los ingresos de la persona o unidad de convivencia (la diferencia entre la renta máxima que abonará la persona o unidad de convivencia y la renta aplicable de que se trate la abonará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Abogado del Estado, desde la perspectiva de las entidades de crédito afectadas por la medida, cabe esperar que se genere una mayor incertidumbre por deterioro del valor de las carteras de activos. Además, una cesión temporal forzosa del uso de las viviendas obtenidas en garantía de créditos hipotecarios reduce la eficacia de dicha garantía para enjugar las pérdidas derivadas del impago del prestatario, con el efecto inmediato de la reducción en el valor de la deuda que podría recuperarse (efecto que dependería del importe a recibir por el sujeto propietario,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entiende el Abogado del Estado que las medidas podrían también tener un impacto sobre las emisiones de cédulas hipotecarias y otros valores garantizados por préstamos hipotecarios, debido al deterioro de la calidad de la garantía subyacente que dificultará la capacidad de financiación de las entidades de crédito; en concreto cabe esperar un descenso de la cotización de los títulos, un incremento de los costes de financiación de las entidades junto con un aumento de dificultades para refinanciar los títulos a medida que vayan venciendo.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aplicación de la norma podría también generar mayores costes para las entidades, en caso de incumplimiento o demora de la obligación de poner a disposición de la administración las viviendas en los supuestos previstos en la norma, como consecuencia del régimen sancionador establecido, lo que, en su caso, afectaría a la evolución de los márgenes y los resultados de las entidades. Según pone de relieve, todo lo anteriormente expuesto tiene indudablemente un efecto directo sobre la cartera actual de cédulas hipotecarias, que constituye una de las fuentes más importante de financiación de préstamos hipotecarios de las entidades. Dado el menor valor de la garantía, los inversores exigirán un mayor volumen de préstamos que respalde las cédulas emitidas.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examina el escrito del Abogado del Estado los efectos del artículo 20 de la Ley impugnada. El artículo 20 de la Ley, al igual que el artículo 9 del Decreto-ley 3/2015, al ordenar la suspensión de los lanzamientos en procesos judiciales o extrajudiciales de ejecución hipotecaria de personas en situación de especial vulnerabilidad, cuando su vivienda habitual se adjudique al acreedor o a un tercero por él propuesto, hasta que se ofrezca una alternativa habitacional por parte de la administración —a lo que la Ley impugnada ha incrementado su objeto a los desahucios por falta de pago de alquiler—, entra en conflicto evidente con las previsiones equivalentes de la Ley estatal y lo hace sin el contexto del conjunto de medidas adoptadas por el Estado, creando una gran inseguridad jurídica y afectando fundamentalmente a las entidades financieras, además de a los acreedores no institucionales.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Reitera el Abogado del Estado lo expresado por la STC 93/2015, de 14 de mayo, que resolvió el recurso de inconstitucionalidad interpuesto contra el Decreto-ley de la Junta de Andalucía 6/2013, de 9 de abril, de medidas para asegurar el cumplimiento de la función social de la propiedad de la vivienda, en relación con las expropiaciones de uso de la vivienda desocupada establecidas en dicha norma, medida que es equiparable a la suspensión de lanzamientos prevista en la Ley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la previsión se establece en el artículo 20, el resto de los apartados, en la medida en que son instrumentales para la ejecución de la suspensión de lanzamientos, deben mantenerse en suspenso por conexión. Lo mismo sucede respecto de la disposición transitoria segunda, que establece el momento de la entrada en vigor de esta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con referencia al artículo 24 de la Ley, alega el Abogado del Estado que, como hacía antes el artículo 12 del Decreto-ley 3/2015, dicho precepto obliga, en su primer apartado, a las entidades financieras, las sociedades inmobiliarias que estén bajo su control y a la SAREB, a poner a disposición de la Administración de Aragón las viviendas situadas en el territorio de esa Comunidad Autónoma que sean de su propiedad y que provengan de procedimientos de ejecución hipotecaria, de pago o dación en pago de deudas con garantía hipotecaria, siempre que el parque de viviendas resultantes de los convenios regulados en el artículo 23, así como las viviendas del sector público resulten insuficientes para dar adecuada respuesta a las necesidades de alojamiento de personas, unidades de convivencia en situación de vulnerabilidad y que tales viviendas se encuentren desocupadas. De acuerdo con el escrito del Abogado del Estado, la ejecución de esta medida deteriora el valor de los activos adjudicados, en tanto que los compradores, sabedores de que la entidad podrá perder las viviendas si no se ocupan, exigirán precios más competitivos. Ello actuará en perjuicio de la situación financiera de las entidades afectadas por la reestructuración, dado el menor valor de mercado relativo de dichas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cesión obligatoria de viviendas para su alquiler, como sucede en las otras normas autonómicas en las que se acuerda la expropiación temporal, supone que las entidades a las que alcanza el proceso de reestructuración inmobiliaria, no podrán llevar a cabo la venta de sus viviendas adjudicadas, por estar afectadas por esta medida, al tiempo que mantendrán su titularidad sobre las mismas. Ello implica que dichas viviendas deberán permanecer en el balance de las entidades.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afirma el Abogado del Estado, que resultan de aplicación íntegra las razones que llevaron al Tribunal al mantenimiento de la suspensión de los preceptos equivalentes del Decreto-ley 3/2015 en el ATC 18/2017, de 31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diligencia de ordenación de 2 de enero de 2018 se hace constar que solamente han presentado escrito de alegaciones sobre mantenimiento o levantamiento de la suspensión el Abogado del Estado y la representación legal de las Cortes de Aragón.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artículos 20 y 24, así como de la disposición transitoria segunda de la Ley 10/2016, de 1 de diciembre, de medidas de emergencia en relación con las prestaciones económicas del Sistema público de servicios sociales y con el acceso a la vivienda en la Comunidad Autónoma de Aragón, preceptos que se encuentran suspendidos en su aplicación como consecuencia de la invocación de los artículos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las Cortes de Aragón ha solicitado el levantamiento anticipado de la suspensión, conforme ha quedado expresado en los antecedentes, mientras que el Abogado del Estado se opone a esta pretensión e interesa que se mantenga la suspensión, con una argumentación que, en relación a algunos de los preceptos, es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135/2015, de 21 de julio (en el recurso contra diversos preceptos de la Ley 2/2014, de 20 de junio, de modificación de la Ley 2/2003, de 30 de enero, de vivienda de Canarias y de medidas para garantizar el derecho a la vivienda); 144/2016, de 19 de julio (en recurso contra diversos preceptos de la Ley del Parlamento Vasco 3/2015, de 18 de junio, de vivienda); y 160/2016, de 20 de septiembre (en el recurso de inconstitucionalidad interpuesto contra determinados preceptos de la Ley del Parlamento de Cataluña 24/2015, de 29 de julio, de medidas urgentes para afrontar la emergencia en el ámbito de la vivienda y la pobreza energética). Y sobre todo en el ATC 18/2017, de 31 de enero en el recurso contra diversos preceptos del Decreto-ley del Gobierno de Aragón 3/2015, de 15 de diciembre, de medidas urgentes en materia de prestaciones económicas de carácter social, pobreza energética y acceso a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el presente tipo de incidente de suspensión existe una consolidada doctrina constitucional, conforme a la cual la suspensión de la disposición o acto objeto de un conflicto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de acuerdo con nuestra doctrina, esa valoración debe efectuarse mediante el estricto examen de las situaciones de hecho creadas por los preceptos discutidos y al margen de la viabilidad de las pretensiones que en la demanda se formulan, pues la interpretación de las reglas de deslinde competencial que al caso hagan debe, obviamente, quedar diferida a la sentencia que resuelva la controversia competencial. Por último, hemos destacado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del conflicto (por todos AATC 100/2002, de 5 de junio, FJ 2; 355/2007, de 24 de julio, FJ 2; 225/2009, de 10 de diciembre, FJ 2; 44/2011, de 12 de abril, FJ 2; 86/2012, de 8 de mayo, FJ 2; 122/2015, de 7 de julio, FJ 2, y 18/2017, de 31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el Abogado del Estado a favor de mantener la suspensión de la vigencia y aplicación de los preceptos recurridos de la Ley 10/2016, de 1 de diciembre, de medidas de emergencia en relación con las prestaciones económicas del sistema público de servicios sociales y con el acceso a la vivienda en la Comunidad Autónoma de Aragón, así como las de la representación procesal de las Cortes de Aragón en pro del levantamiento de la misma, resulta conveniente hacer una sintética referencia al contenido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primero del artículo 20 de la Ley 10/2016, de 1 de diciembre, declara la suspensión de los lanzamientos en procesos judiciales o extrajudiciales de ejecución hipotecaria en los que quede afectada una vivienda habitual de persona o unidad de convivencia de buena fe, que se encuentren en supuestos de especial vulnerabilidad.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apartado segundo del artículo 20 de la Ley 10/2016, declara la suspensión de los lanzamientos en procesos judiciales o extrajudiciales de desahucio por impago de alquiler cuando, encontrándose la persona o unidad de convivencia en el supuesto del apartado anterior, el sujeto que ha iniciado el citado proceso de lanzamiento cumpla como condición ser gran propietario de viviendas, conforme a lo regulado en esta Ley, o ser persona jurídica que hubiera adquirido esa vivienda después del 30 de abril de 2008 a causa de ejecución hipotecaria, acuerdo de compensación de deudas, o de dación en pago, o de compraventas que tengan como causa la imposibilidad de restituir el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transitoria segunda de la Ley 10/2016, dispone que la suspensión de los lanzamientos de su vivienda habitual de personas o unidades de convivencia en situación de especial vulnerabilidad prevista en el artículo 20 será de aplicación en los procesos judiciales o extrajudiciales de ejecución hipotecaria iniciados a la entrada en vigor de la Ley, siempre que en dicha fecha no se hubiere ejecutado el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24 de la Ley 10/2016, dispone que “las entidades financieras, las sociedades inmobiliarias bajo su control, la Sociedad de Gestión de Activos Procedentes de la Reestructuración Bancaria, S.A., y aquellos que se definen en esta ley como grandes propietarios de viviendas, deberán poner a disposición de la Administración de la Comunidad Autónoma de Aragón las viviendas, situadas en el territorio de Aragón, que sean de su propiedad y, en el caso de las de las entidades financieras, las sociedades inmobiliarias bajo su control o la Sociedad de Gestión de Activos Procedentes de la Reestructuración Bancaria, S.A., provengan de procedimiento de ejecución hipotecaria, de pago o dación en pago de deudas con garantía hipotecaria, cuando el parque de viviendas resultante de los convenios regulados… así como de las medidas de promoción… y las viviendas del sector público sean insuficientes para dar adecuada respuesta a las necesidades de alojamiento de personas o unidades de convivencia en situación de vulnerabilidad, y aquellas viviendas se encuentren desocupadas…”. El órgano competente designará a los destinatarios de dichas viviendas y la entidad titular de la vivienda estará obligada a otorgar título suficiente para el uso, bajo la fórmula preferente de arrendamiento o, excepcionalmente, otras que resulten admisibles en derecho, garantizando la correspondiente contraprestación. En caso de incumplimiento o demora por parte de la entidad titular de la vivienda, de las obligaciones de cesión previstas, se contempla la posibilidad de imposición de multas coercitivas.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los preceptos impugnados es muy similar, aunque no coincida exactamente, con el de otras leyes autonómicas en materia de vivienda que han sido impugnadas ante este Tribunal, respecto de las que han recaído los AATC 69/2014, 115/2014, 135/2015, 144/2016, y 160/2016. Es, asimismo, análogo al contenido de los preceptos impugnados en el recurso de inconstitucionalidad 4952-2016, en el que se controvierte la constitucionalidad de determinados preceptos contenidos en el Decreto-ley del Gobierno de Aragón 3/2015, de 15 de diciembre, de medidas urgentes en materia de prestaciones económicas de carácter social, pobreza energética y acceso a la vivienda, que ha sido sustituido por la Ley impugnada en el presente proceso y respecto del que ha recaído el ATC 18/2017, de 31 de enero. La norma aragonesa comparte con la normativa referida de la misma Comunidad Autónoma —así como con la normativa de otras Comunidades— la previsión de medidas de suspensión de lanzamientos en determinadas circunstancias, así como la cesión forzosa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y perjuicios de imposible o difícil reparación invocados en este caso por el Abogado del Estado son los mismos que se pusieron de manifiesto y se valoraron por este Tribunal en los referidos AATC 69/2014, 115/2014, 32/2015, 135/2015, 144/2016 y, sobre todo, 18/2017, por lo que el resultado de nuestra ponderación debe ser el mismo que entonces, y en consecuencia, debe mantenerse la suspensión de los artículos 20, 24 y disposición transitoria segunda de la Ley 10/2016, de 1 de diciembre, de medidas de emergencia en relación con las prestaciones económicas del sistema público de servicios sociales y con el acceso a la vivienda en la Comunidad Autónoma de Aragón, por las razones expuestas en los Autos de este Tribunal citados, que son, de forma sucinta, y proyectadas al presente caso,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en la medida en que los preceptos impugnados inciden, aunque en términos cuantitativamente reducidos, en el sistema financiero en su conjunto, generan una desconfianza en el sistema crediticio globalmente considerado, ponen en riesgo la estabilidad del sistema financiero, producen un menoscabo en la reestructuración bancaria apoyada con dinero público y en el cumplimiento por España de sus compromisos internacionales. Se advierte, también, del efecto acumulativo de dichos perjuicios, al sumarse a lo previsto por las otras leyes autonómicas en materia de vivienda anteriormente mencionadas que han sido impugnadas también por el Presidente del Gobierno (AATC 69/2014, FFJJ 5, 6 y 7; 115/2014, FJ 5; 135/2015, FJ 3; 144/2016, FJ 5, y 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para los intereses públicos se producen, según los informes del Banco de España y del Ministerio de Economía y Competitividad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 (AATC 69/2014, FJ 7, 144/2016, FJ 5, y 18/2017, FJ 4). Como ya recordamos en el ATC 18/2017, FJ 4, desde la óptica que nos ocupa, poco importa que el programa de asistencia financiera a España, acordado por el Eurogrupo el 9 de julio de 2012 (memorando de entendimiento sobre condiciones de política sectorial financiera firmado el 20 de julio de 2012) con una duración de 18 meses, haya llegado a su fin de un modo satisfactorio. Las condiciones impuestas, lejos de estar consumadas, siguen vigentes y desplegando sus efectos, que han de sujetarse a los compromisos asumidos por España dentro de la Unión Europea, en particular en lo relativo a las ayudas de Estado. En el marco de esta supervisión, las autoridades europeas competentes ya han examinado medidas legislativas autonómicas similares a las contenidas en la Ley 10/2016, de 1 de diciembre; expresan su preocupación en cuanto que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Sociedad de gestión de activos procedentes de la reestructuración bancaria. Esos argumentos de las autoridades europeas son compartidos, en el momento presente y a pesar de la mejora del contexto financiero, por el Banco de España, como se refleja en el documento adjunto que aporta, junto a su escrito de alegaciones,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135/2015, FJ 3; 144/2016, FJ 5, y 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bien se recuerda en el ATC 18/2017, FJ 4, recogiendo la alusión realizada en la STC 93/2015, de 14 de mayo,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artículo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del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(STC 93/2015,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(AATC 69/2014, FJ 9; 115/2014, FJ 5; 32/2015, FJ 6; 135/2015, FJ 3; 144/2016, FJ 5, y 18/2017,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como se recuerda en los AATC 69/2014, FJ 9, y 18/2017, FJ 4, del ya citado Real Decreto-ley 27/2012, de 15 de noviembre, de medidas urgentes para reforzar la protección a los deudores hipotecarios (derogado tras ser tramitado como ley por la igualmente citada Ley 1/2013, de 14 de mayo, de medidas para reforzar la protección a los deudores hipotecarios, reestructuración de deuda y alquiler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cabría añadir otras de no menor relevancia, como el Real Decreto-ley 6/2012, de 9 de marzo, de medidas urgentes de protección de deudores hipotecarios sin recursos y el plan estatal de fomento del alquiler de viviendas, la rehabilitación edificatoria, la regeneración y renovación urbanas 2013-2016, aprobado por Real Decreto 233/2013, de 5 de abril. El Estado ha aprobado, también, el Real Decreto-ley 1/2015, de 27 de febrero, del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de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la representante de las Cortes de Aragón que la normativa impugnada tiene una novedad sustantiva respecto de las normativas examinadas hasta ahora, pues el apartado segundo del artículo 20 hace extensiva la suspensión de los lanzamientos en los procesos judiciales o extrajudiciales de desahucio por impago de alquiler cuando, encontrándose la persona o unidad de convivencia en idéntica situación de especial vulnerabilidad, el sujeto que ha iniciado el citado proceso de lanzamiento cumpla determinadas condiciones. Sin embargo, medidas dirigidas a evitar los desahucios de la vivienda habitual, incluyendo el supuesto de impago del alquiler, también fueron recogidas, por ejemplo, en la Ley catalana 24/2015, de medidas urgentes para afrontar la emergencia en el ámbito de la vivienda y la pobreza energética y este Tribunal resolvió mantener la suspensión de las mismas (ATC 160/2016, de 20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sentada en los ya referidos AATC 69/2014, FJ 10; 115/2014, FJ 5; 144/2016, FJ 5; 160/2016, FJ 4, y 18/2017, FJ 4,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artículos 20 y 24, así como de la disposición transitoria segunda de la Ley 10/2016, de 1 de diciembre, de medidas de emergencia en relación con las prestaciones económicas del Sistema público de servicios sociales y con el acceso a la vivienda en la Comunidad Autónoma de 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febrero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don Fernando Valdés Dal-Ré, don Juan Antonio Xiol Ríos y don Cándido Conde-Pumpido Tourón al Auto de 7 de febrero de 2018, dictado en el incidente de suspensión del recurso de inconstitucionalidad núm. 4403-2017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(LOTC), y con el máximo respeto a la opinión de la mayoría, expresamos nuestra discrepancia con la decisión de ratificar la suspensión de los artículos 20 y 24 y la disposición transitoria segunda de la Ley 10/2016, de 1 de diciembre, de medidas de emergencia en relación con las prestaciones económicas del Sistema público de servicios sociales y con el acceso a la vivienda en la Comunidad Autónoma de Aragón.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Del mismo modo que en el Auto se reitera la ponderación recogida en los AATC 69/2014, de 10 de marzo, 115/2014, de 8 de abril, 135/2015, de 21 de julio, 144/2016, de 19 de julio, 160/2016, de 20 de septiembre, y 18/2017, de 31 de enero, valdrá ahora con la remisión a las razones expuestas en los votos particulares formulados a dichas resoluciones.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especial, en el Voto particular al ATC 18/2017, relativo al Decreto-ley del Gobierno de Aragón 3/2015, de 15 de diciembre, antecedente inmediato de la Ley impugnada en este proceso, ya se destacó que aquella decisión “se fundamenta en la misma concepción sobre la afectación directa al mercado hipotecario y el consiguiente riesgo para la estabilidad del sistema financiero que se mantuvo hace tres años (ATC 69/2014, de 10 de marzo), sin tener en cuenta los cambios desde entonces y la reconocida mejoría de la situación macroeconómica en España”. Una crítica que resulta incluso más fundada un año más tarde, al mantenerse invariado el criterio de ponderación que, basado en elementos coyunturales, parece no tener en cuenta ni la evolución favorable de la situación macroeconómica financiera de los distintos sectores en España (informe de estabilidad financiera. Banco de España, noviembre 2017) ni los resultados actuales de la Sociedad de gestión de activos procedentes de la reestructuración bancaria (informe de actividad, primer semestre 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Reiteramos por tanto que el prolongado impacto de estas resoluciones sobre las medidas autonómicas relativas a la suspensión de lanzamientos o las viviendas desocupadas constituye una concepción altamente perturbadora para el ejercicio de la competencia autonómica exclusiva en materia de vivienda. Y, adicionalmente, para el efectivo disfrute por los afectados de los derechos instituidos en las normas autonómicas suspendidas, con los serios perjuicios, ahora sí, para la vigencia del Estado social y su plasmación en el derecho a disfrutar de una vivienda digna y adecuada reconocido en el artículo 47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emitimos nuestro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ocho de febrero de dos mil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