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medida cautelar de suspensión acordada en la providencia de 11 de julio de 2018.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junio de 2018, el Procurador de los Tribunales don Silvino González Moreno, en nombre y representación de doña M.S.C., y bajo la dirección del Letrado don Víctor Manuel Rodríguez Villares, interpuso recurso de amparo contra el Auto de la Sección Vigésima Primera de la Audiencia Provincial de Madrid de 16 de mayo de 2018, por el que se desestima el recurso de apelación núm. 560-2017 interpuesto contra el Auto del Juzgado de Primera Instancia núm. 2 de Getafe, de 1 de junio de 2018, dictado en el procedimiento de ejecución de títulos judiciales núm. 33-2017, en que se acuerda, entre otros aspectos, denegar la suspensión de la ejecución del desalojo de la vivienda en tanto se le adjudique una vivienda por los servicios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resolución judicial impugnada alegando que la ejecución del desalojo de la vivienda es susceptible de causar perjuicios ya que se trata de una unidad familiar con hijos menores de edad que conviven con la recurrente en situación de exclusión social que no cuentan con una solución habitacional alternativa.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11 de julio de 2018, acordó, en la primera, la admisión a trámite de la demanda de amparo, la suspensión cautelar de las resoluciones impugnadas (esto es, el lanzamiento forzoso y el desalojo de la vivienda en la ejecución) al apreciar la urgencia excepcional a que se refiere el artículo 56.6 de la Ley Orgánica del Tribunal Constitucional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30 de julio de 2018, presentó alegaciones interesando la suspensión de la resolución impugnada al considerar, tras enunciar la jurisprudencia de este Tribunal sobre el particular, que es un supuesto en que, aun tratándose de una resolución de carácter patrimonial, “no obstante puede acabar afectando a derechos esenciales como el de una vivienda digna, por lo que de acuerdo con la doctrina de este Tribunal, sería procedente la suspensión para evitar situaciones cuya irreversibilidad deviniera poco menos que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por escrito registrado el 17 de julio de 2018, presentó alegaciones reiterando la solicitud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 este Tribunal, por Auto de 17 de septiembre de 2018, acordó excepcionar en este procedimiento la exigencia constitucional de publicidad de sus resoluciones en lo relativo a los datos de identidad de la demandante de amparo sustituyendo su identidad por las iniciales correspondientes.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56.6 de la Ley Orgánica del Tribunal Constitucional (LOTC) atribuye a las Salas y Secciones de este Tribunal la facultad de adoptar, en la propia resolución de admisión a trámite de los recursos de amparo, medidas cautelares inaudita parte, en supuestos de urgencia excepcional. En el ejercicio de tal facultad, mediante la providencia de 11 de julio de 2018 se acordó suspender la ejecución de las resoluciones impugnadas (esto es, el lanzamiento forzoso y el desalojo de la vivienda en la ejecución) al apreciar una urgencia excepcional por ser inminente el desalojo de la vivienda de una unidad familiar compuesta por hijos menores de edad y con discapacidad que no contaban con una solución habitacional alternativa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56.6 LOTC establece que la decisión de suspensión urgente acordada en la resolución de admisión puede ser impugnada en el plazo de cinco días desde su notificación, por el Ministerio Fiscal y demás partes personadas. Sin perjuicio de ello, este Tribunal ha reiterado que la concurrencia de una urgencia excepcional que autoriza a este Tribunal a adoptar medidas cautelares sin oír a las partes y a hacerlo con una motivación sucinta —al acordarse en la propia providencia de admisión a trámite del recurso de amparo— obliga a dictar una nueva resolución motivada en la que, tras oír a las partes, se expresen las razones que lleven al Tribunal a mantener, modificar o levantar la medida inicialmente acordada (AATC 213/2009, de 9 de julio, FJ 1; 174/2013, de 9 de septiembre, FJ 2; 119/2015, de 6 de julio, FJ 2, o 134/2017, de 5 de octubre, acuerda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reiterado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(así, entre los últimas, AATC 21/2018, de 5 de marzo, FJ 3, o 58/2018,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consonancia con esta consolidada jurisprudencia constitucional y sin prejuzgar la decisión de fondo del recurso, una vez otorgado el trámite de audiencia a las partes personadas y al Ministerio Fiscal, procede acordar el mantenimiento de la decisión acordada en la providencia de 11 de julio de 2018 de suspender las resoluciones impugnadas (esto es, el lanzamiento forzoso y el desalojo de la vivienda en la ejecución), puesto que, en caso contrario, se privaría a la demandante de amparo y a sus hijos menores de edad de la posesión de la vivienda habitual, mediante la ejecución del lanzamiento acordado por el órgano judicial, lo que abocaría a una situación difícilmente reversible, que haría perder la finalidad al presente recurso. Además, no se advierte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medida cautelar de suspensión acordada en la providencia de 11 de julio de 2018.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