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noviembre de 2018, la letrada de la Junta de Extremadura, representada por la procuradora de los tribunales doña Aurora Gómez-Villaboa Mandri, interpuso recurso de amparo contra la providencia de la Sección Primera de la Sala de lo Contencioso-Administrativo del Tribunal Superior de Justicia de Extremadura de 11 de octubre de 2018, por la que se inadmite el incidente de nulidad de actuaciones interpuesto contra el auto de 10 de septiembre de 2018, por el que se inadmite el recurso de casación autonómico núm. 1-2018, interpuesto contra la sentencia del Juzgado de lo Contencioso-Administrativo núm. 1 de Mérida de 2 de marzo de 2018, pronunciada en el procedimiento abreviado núm. 150-2017 sobre reconocimiento de complemento salarial a una empleada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que se suspenda la ejecución de la sentencia pronunciada por el juzgado de lo contencioso-administrativo argumentando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6 de mayo de 2019 acordó, en la primera, la admisión a trámite del presente recurso de amparo, apreciando que concurre en el mismo una especial trascendencia constitucional (art. 50.1 LOTC) porque el asunto suscitado transciende el caso concreto al plantear una cuestión jurídica de relevante y general repercusión social o económica [STC 155/2009, FJ 2 g)] y la formación de pieza separada para la sustanciación del incidente de suspensión; y, en la segunda, conceder a la parte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letrada de la Junta de Extremadura, por escrito registrado el 10 de mayo de 2019, alegó que “de no acordarse la suspensión interesada se consolidaría una situación difícilmente reversible y, de este modo, se malograría también la efectividad del amparo solicitado, a efecto de desigualdad de realizar un pago de un complemento, que otros individuos en iguales condiciones no se están beneficiando del mismo. Y de esta forma no se cierre la vía a esta administración de conocer un recurso establecido legalmente y por parte del Tribunal Superior de Justicia de Extremadura, se admita el recurso de casación planteado y pueda resolver sobre la infracciones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manifestando que el no otorgamiento de la suspensión ocasionaría a esa administración un perjuicio irreparable que haría perder al amparo su finalidad, y con cita del ATC 185/2014, de 8 de julio, entiende que procede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23 de mayo de 2019, presentó alegaciones interesando denegar la suspensión solicitada, ya que (i) la parte recurrente lo que está solicitando es la suspensión de efectos de la sentencia recurrida en casación y no la decisión judicial de inadmisión del recurso de casación, que es la impugnada en este recurso de amparo, lo que es determinante para su denegación (ATC 266/2005, de 20 de junio, FJ 1); y (ii) en cualquier caso, la parte recurrente no ha cumplido con la carga de justificar los eventuales perjuicios que se le irrogarían y la suspensión solicitada tiene un contenido meramente económico en tanto que se limita a reconocer el derecho a la percepción de un complemento salarial, lo que impide considerar que tenga efectos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Habiéndose personado en las actuaciones principales del presente recurso el procurador don Luis Mena Velasco, en nombre y representación de doña María Jesús Borrallo Berjón, por diligencia de ordenación de 27 de mayo de 2019, de conformidad con lo prevenido en el art. 56 LOTC, se concedió plazo de tres días a dicha parte para que, dentro de ese término, alegara lo que estimase pertinente en relación con la petición de suspensión interesada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de los tribunales, don Luis Mena Velasco, en nombre y representación de doña María Jesús Borrallo Berjón, presentó escrito de alegaciones el 13 de junio de 2019, en el que, tras reproducir el Auto dictado por este Tribunal con fecha 20 de mayo de 2019 en el recurso de amparo 5905-2018, manifiesta que la argumentación de dicho auto resulta plenamente aplicable al supuesto objeto de este recurso por lo que procede la desestimación de la petición de suspensión formulada por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Como excepción, el artículo 56.2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excepcional y de aplicación restrictiva, que deriva de la necesidad de preservar el interés general, de garantizar la efectividad de las decisiones de los poderes públicos y de asegurar la ejecución de las resoluciones dictadas por jueces y tribunales en el ejercicio de la potestad jurisdiccional que les confiere el artículo 117.3 CE (así, AATC 82/2018, de 17 de julio, FJ 1, y 98/2018, de 18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también ha reiterado que el demandante de amparo tiene la carga de acreditar el perjuicio y debe precisar los concretos detrimentos o daños que pueden derivarse de la ejecución del acto impugnado, así como justificar o argumentar razonadamente su carácter irreparable. Asimismo, es doctrina reiterada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160/2017, de 21 de noviembre, FJ 2, y 88/2018,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se ha expuesto en los antecedentes, la parte recurrente se ha limitado en su demanda a solicitar que se suspenda la ejecución del auto de la Sala de lo Contencioso-Administrativo del Tribunal Superior de Justicia de Extremadura por el que se inadmitió el recurso de casación interpuesto por la Junta de Extremadura y de la providencia por la que se inadmitió a trámite el incidente de nulidad de actuaciones, argumentando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 Posteriormente, en el trámite de audiencia de este incidente de suspensión ha presentado alegaciones en las que vuelve a insistir, sin ningún tipo de argumentación, que el no otorgamiento de la suspensión ocasionaría a esta administración un perjuicio irreparable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resuelto este Tribunal en el Auto 38/2019, de 20 de mayo, en un asunto idéntico al presente planteado también por la Junta de Extremadura, el razonamiento desarrollado por la parte recurrente para instar de este Tribunal la suspensión de las resoluciones judiciales impugnadas “no expresa cuál es el perjuicio que se considera que irrogaría su ejecución ni tampoco, atendiendo a la circunstancia de que tiene un evidente carácter económico, su carácter irreparable. En estas condiciones este Tribunal no puede dar por cumplida la carga procesal que compete a la parte recurrente para obtener una medida provisional de carácter excepcional y de interpretación restrictiva como es la suspensión de una resolución judicial que, por otra parte, reconoce derechos de terceros. Por tanto, dado que se carece de cualquier apoyatura argumental sobre la que sustentar cualquier otra decisión, es preciso desestimar la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