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22 de abril de 2019, la procuradora de los tribunales doña Blanca Berriatua Horta, en representación de la entidad Euroinversiones Inmobiliarias Costa Sur, S.L., y bajo la dirección del letrado don Marcelino Gilabert García, interpuso recurso de amparo contra el auto del Juzgado de Primera Instancia e Instrucción núm. 5 de Lorca de 27 de febrero de 2019, por el que se desestima el recurso de reposición interpuesto contra el auto de 21 de septiembre de 2018, por el que se inadmite el escrito de oposición a la ejecución hipotecaria en el procedimiento de ejecución hipotecaria núm. 362-2018.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alegando que “la continuación de la ejecución derivada de los pronunciamiento judiciales que han sido objeto de impugnación, con la celebración de subasta y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el 28 de octubre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8 de noviembre de 2019, la entidad demandante presentó alegaciones reiterando su solicitud de suspensión, insistiendo en que con la celebración de la subasta y la eventual adjudicación a terceros o a la entidad ejecutante el recurso de amparo perdería su finalidad y le provocaría perjuicios patrimoniales de imposible o difícil reparación. También pone de manifiesto que la posible adjudicación del bien inmueble a terceros de buena fe conllevaría a situaciones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15 de noviembre de 2019, presentó alegaciones interesando que se deniegue la suspensión, pero que se acuerde la anotación preventiva de la demanda de amparo, argumentando que la petición de suspensión del procedimiento ejecutivo no parece muy fundamentada y que el efecto protector deseado por la entidad demandante frente a la posible adjudicación a un tercero de buena fe del bien subastado se obtendría de manera mucho más eficaz mediante la anotación preventiva de la demanda de amparo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de la recurrente en amparo y dirigida frente al procedimiento de ejecución hipotecaria núm. 362-2018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a propósito de otro procedimiento hipotecario seguido ante el Juzgado núm. 3 de Lorca, donde se plantearon los mismos argumentos que aquí para solicitar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de la Ley Orgánica del Tribunal Constitucional,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