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3541-2019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382-2018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6 de junio de 2019, tuvo entrada en el registro general de este Tribunal Constitucional un escrito de la procuradora doña Blanca Berriatua Horta, en representación de la entidad Penrei Inversiones, S.L., por el que interpuso recurso de amparo contra el auto de 21 de septiembre de 2018 del Juzgado de Primera Instancia e Instrucción núm. 5 de Lorca, que inadmitió el escrito de oposición a la ejecución hipotecaria promovida por Banco de Sabadell, S.A.; y contra el auto del mismo juzgado, de 23 de abril de 2019,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21de septiembre de 2018, el Juzgado de Primera Instancia e Instrucción núm. 5 de Lorca dictó un auto en el procedimiento de ejecución hipotecaria núm. 382-2018 por el que acordó: “Inadmitir a trámite la oposición formulada por la parte ejecutada Penrei Inversiones, S.L., y Euroinversiones Inmobiliarias Costa Sur, S.L., […] por estar presentada fuera de plazo, contra Banco Sabadell, S.A.”,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establece en el artículo 134 de la Ley de enjuiciamiento civil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LEC, que la parte ejecutada puede oponerse al despacho de ejecución en los términos de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23 de abril de 2019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13 de junio de 2018 no accediendo al contenido hasta el día 24 de julio de 2018 (fuera de los tres días que establece la normativa procesal), presentando los escritos de oposición a la ejecución en fecha 31 de julio de 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[sic]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aquélla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21 de septiembre de 2018 declaró extemporánea la presentación del escrito de oposición, computando el plazo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del 23 de abril siguiente que desestimó la reposición, se rechaza por la recurrente que haya fundamentado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el Tribunal Constitucional, con estimación del amparo, acuerde la nulidad de ambas resoluciones judiciales y ordene reponer las actuaciones al momento previo al dictado de la primera de aquéllas, a fin de que el juzgado a quo admita a trámite la “demanda de oposición al despacho de ejecución formulada por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382-2018 seguido ante el Juzgado de Primera Instancia e Instrucción núm. 5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25 de noviembre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 y porque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obrando ya testimonio de las correspondientes actuaciones, diríjase igualmente atenta comunicación al Juzgado de Primera Instancia e Instrucción número 5 de Lorca, a fin de que, en plazo que no exceda de diez días, se proceda a emplazar a quienes hubieran sido parte en el procedimiento, excepto la parte recurrente en amparo, para que en el plazo de diez días puedan comparecer, si lo desean,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25 de noviembre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con fecha 3 de diciembre de 2019,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 ATC 287/2013, de 16 de diciembre, reiterando a renglón seguido las vulneraciones constitucionales de fondo que aduce en su demanda, e indicando que de celebrarse la subasta y la posible adjudicación del bien inmueble a terceros de buena fe, con “desposesión del bien ejecutado, conllevaría a situaciones irreversibles, con un inevitable perjuicio para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10 de diciembre de 2019,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sintéticamente la doctrina general del Tribunal Constitucional sobre el carácter excepcional y la aplicación necesariamente restrictiva de la medida de suspensión de las resolución impugnada en amparo, considera que “en el presente caso, la petición de suspensión del procedimiento no parece muy fundamentada por la propia recurrente, ya que se limita a la mera petición sin explicitar ninguna razón salvo la mera pérdida de finalidad del recurso en el caso de que llegara a celebrarse la subasta de los bienes inmuebles en conflicto y su adjudicación a un tercero que actuaría de buena fe”. Añade el fiscal que “[a]cordar la suspensión comportaría la drástica medida que supondría la paralización del procedimiento ejecutivo, que por su propia naturaleza goza de las características de celeridad y sumariedad”. Considera por ello “[m]ucho más eficaz para conseguir el efecto protector deseado por la recurrente”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 amparo en su caso, evitando que el hipotético tercero adquirente qued[e] especialmente protegido por su buena fe en la adquisición”. Con cita del ATC 95/2015, de 25 de mayo, estima el fiscal que el propio Tribunal Constitucional ha admitido la posibilidad de adoptar este tipo de tutela cautelar en casos similares, al amparo del art. 56.3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fiscal que “la aplicación al caso de la doctrina reseñada nos debe llevar a considerar que nos encontramos en uno de esos supuestos en que tratándose de una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382-2018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382-2018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