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392-2018,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junio de 2019, la entidad Penrei Inversiones, S.L., representada por la procuradora de los tribunales doña Blanca Berriatua Horta y bajo la dirección del letrado don Marcelino Gilabert García, interpuso recurso de amparo contra los autos de 21 de septiembre de 2018 y de 23 de abril de 2019, dictados por el Juzgado de Primera Instancia e Instrucción núm. 5 de Lorca, en el procedimiento de ejecución hipotecaria núm. 392-2018,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392-2018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43.242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6 de junio de 2018 se acordó despachar ejecución frente las sociedades demandadas por la cantidad de 2.248,32 € de principal y 2.400 € presupuestados inicialmente para intereses y costas. El citado auto y el decreto de la misma fecha que le sigue fueron comunicados a las citadas sociedades a través de la sede judicial electrónica el día 13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31 de julio de 2018. Por auto de 21 de septiembre de 2018 se acordó su inadmisión por considerar la pretensión extemporánea, tomando como fecha de notificación el 13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13 de junio de 2018, sino el 24 de julio siguiente, fecha en la que accedió a la web y procedió a su descarga, y que la comunicación remitida a través de la dirección electrónica habilitada no puede entenderse más que un aviso de puesta a disposición o descarga de su contenido durante un plazo determinado (en el caso desde el 13 de junio hasta el 24 de julio de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23 de abril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273.3 LEC. Según el auto, en el presente caso “consta que la notificación se puso a disposición de las recurrentes en fecha 13 de junio de 2018, no accediendo al contenido hasta el día 24 de julio de 2018 (fuera de los tres días que establece la normativa procesal), presentando los escritos de oposición a la ejecución en fecha 31 de julio de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 tal y como reconoce la sentencia 37/1984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enero de 2020 la Sección Segunda de este Tribunal acordó admitir a trámite el recurso de amparo y dirigir comunicación al Juzgado de Primera Instancia e Instrucción núm. 5 de Lorca, a fin de que, en plazo que no exceda de diez días emplace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3 de febrero de 2020 la parte demandante formuló sus alegaciones, reiterando lo expuesto en el otrosí de su demanda y trascribiendo como fundamento de su pretensión lo expresado en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11 de febrero de 2020, el ministerio fiscal se opuso a la pretendida suspensión del procedimiento de ejecución hipotecaria, e interesó que, alternativamente, se acuerde la anotación preventiva de la demanda de amparo en el registro de la propiedad, aunque esta última medida no haya sido solicitada en el recurso. Tras exponer la doctrina de este Tribunal sobre suspensión de resoluciones y actos impugnados, aduce que en el presente caso la petición del demandante no parece muy fundada, sostiene que acordar la suspensión comportaría la paralización del procedimiento ejecutivo, que por su propia naturaleza goza de las características de celeridad y sumariedad. Considera mucho más eficaz la anotación preventiva de la demanda en el registro de la propiedad, pues a través de dicha medida cautelar es posible evitar que un hipotético tercer adquirente del inmueble hipotecado, en virtud de su buena fe registral, quede especialmente protegido, perjudicando así los intereses concernidos.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392-2018,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FJ 1; 147/2017, de 13 de noviembre, FJ 1, y 177/2019,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282/2014, de 17 de noviembre, FJ 4; 59/2015, de 16 de marzo, FJ 2, y 177/2019,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(AATC 81/2019, de 15 de julio, 148/2019, 155/2019, y 156/2019, de 25 de noviembre, FFJJ 3; y 170/2019, 171/2019, 173/2019, 174/2019, y 177/2019 de 16 de diciembre, FFJJ 3),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al solicitarse el amparo el procedimiento se encontraba en la fase inicial, una vez rechazada la oposición a la ejecución. En tales circunstancias no es posible afirmar que la continuación del curso del procedimiento judicial, incluso si se produjera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 Esta misma ha sido la solución acogida recientemente, entre otros, en los AATC 148/2019, 155/2019 y 156/2019, FFJJ 3, y 170/2019, 171/2019, 173/2019, 174/2019, y 177/2019, FFJJ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hicimos en el fundamento tercero de los mencionados autos, 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392-2018,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