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pena privativa de libertad solicitada por la demandante de amparo doña Carme Forcadell i Lluis.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Segunda del Tribunal Supremo dictó la sentencia núm. 459/2019, de 14 de octubre, por la que, entre otros pronunciamientos, condenó a doña Carme Forcadell i Lluis como autora de un delito de sedición a las penas de once años y seis meses de prisión y once años y seis meses de inhabilitación absoluta, con la consiguiente privación definitiva de todos los honores, empleos y cargos públicos que tuviera aunque fueran electivos, e incapacidad para obtener los mismos o cualesquiera otros honores, cargos o empleos públicos, así como la de ser elegida para cargo público durante el tiempo de la condena. Igualmente, le impuso el abono de un veinticuatroavo del total de costas (que equivale a tres setentaidosavos).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 doña Carme Forcadell i Lluis promovió incidente extraordinario de nulidad de actuaciones contra la anterior sentencia, haciéndolo al amparo de lo dispuesto en el art. 241 y concordantes de la Ley Orgánica del Poder Judicial (LOPJ). Este incidente fue desestimado por auto de la Sala Segunda del Tribunal Supremo, dictado el 29 de enero de 2020, que fue notificado en el mismo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fecha 11 de marzo de 2020, el procurador de los tribunales don Emilio Martínez Benítez, en nombre y representación de doña Carme Forcadell i Lluis, interpuso recurso de amparo contra las dos resoluciones judiciales citadas, alegando la vulneración de los siguientes derechos fundamentales y libertades públicas: libertad personal (art. 17 CE), legalidad penal (art. 25 CE), igualdad en la aplicación de la ley (art. 14 CE), tutela judicial efectiva, sin indefensión (art. 24.1 CE), defensa, presunción de inocencia, juez ordinario predeterminado por la ley, utilizar los medios de prueba pertinentes para su defensa (24.2 CE), proceso con todas las garantías, que desdobla en diversas vertientes: doble instancia penal, juicio justo, juez imparcial, proceso equitativo (art. 24.2 CE), libertad ideológica (art. 16), libertad de expresión (art. 20 CE), de reunión y manifestación (art. 21 CE), y representación política (art. 23 CE); con invocación de la prohibición de desviación de poder prevista en el art. 18 Convenio europeo de derechos humanos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medio de otrosí dice, la demanda de amparo solicita la suspensión de la ejecución de la pena privativa de libertad impuesta en la sentencia núm. 459/2019, de 14 de octubre, de la Sala Segunda del Tribunal Supremo, conforme a lo dispuesto en los apartados 1 y 2 del art. 56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precitada solicitud de suspensión se ha fundamentado en los siguientes argumentos: (i) el tiempo ya transcurrido en situación de privación de libertad; (ii) su conducta de plena disponibilidad hacia los tribunales de Justicia; y (iii) la previsible tardanza en resolverse este recurso, junto con el del resto de condenados, a la vista de la motivación y complejidad de las cuestiones planteadas. Todo ello puesto en relación con la afectación irreparable de sus derechos fundamentales para el caso de que el recurso fuera finalmente estimado. En esa demanda se interesaba que la petición de suspensión se tramitara por la vía del art.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30 de marzo de 2020 tuvo entrada en el registro general de este tribunal un nuevo escrito presentado por la representación de la recurrente en amparo, en el que se reiteraba la solicitud de suspensión de la ejecución de la pena de prisión y, al mismo tiempo, justificaba la necesidad de que este tribunal adoptara aquella medida con carácter urgente, de conformidad con lo dispuesto en el art. 56.6 LOTC. El fundamento de esta pretensión se centraba en la situación —pública y notoria— derivada del estado de alarma y las medidas de confinamiento domiciliario acordadas por el Consejo de Ministros, como consecuencia de la situación de pandemia provocada por el coronavirus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destaca, esa situación de pandemia es la que justificaría, por un lado, un pronunciamiento urgente de este tribunal, y por otro, la suspensión interesada. La demandante considera que su estancia en prisión genera no solo una vulneración de su derecho a la libertad (art. 5 CEDH), ya alegada —entre otros derechos— en la demanda de amparo, sino un riesgo para su vida (art. 2 CEDH) y una negación de su derecho a la vida familiar (art. 8 CEDH). Finalmente, alega que las medidas adoptadas a nivel nacional e internacional anulan cualquier riesgo de fuga (que, según la recurrente, nunca ha existido), teniendo en cuenta “la imposibilidad de movimientos de las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medio de providencia de 6 de mayo de 2020, el Pleno del Tribunal Constitucional acordó la admisión a trámite de la demanda y la avocación de la misma a dicho Pleno. Igualmente, en lo que respecta a la medida cautelar de suspensión solicitada en la demanda, acordó que no era procedente la estimación de la prevista en el art. 56.6 LOTC, por no apreciar la urgencia excepcional que justificaría su adopción inaudita parte de forma inmotivada. Igualmente, consideró que procedía formar la oportuna pieza separada y, en ella, conceder un plazo de tres días al Ministerio Fiscal y a la solicitante de amparo para que efectuaran alegaciones que consideraran oportunas respecto a aquella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11 de mayo de 2020, el procurador de los tribunales antes indicado presentó, en nombre y representación de la demandante de amparo, su escrito de alegaciones. En el mismo se reiteran los argumentos ya expuestos en los escritos anteriores. La recurrente considera que la ejecución de la sentencia le está produciendo un perjuicio irreparable. Por un lado, por el tiempo transcurrido en situación de prisión (dos años y dos meses) y, por otro, por la previsible dilación temporal en la tramitación y resolución del recurso de amparo. Además, alega que la actual crisis sanitaria y social conlleva una especial intensidad en la lesión de su derecho a la libertad (art. 17 CE y art. 5 CEDH), por cuanto su privación implica la negación del derecho a la vida familiar (art. 8 CEDH) en momentos especialmente difíciles para cualquier persona. Finaliza interesando que se resuelva la suspensión con la mayor celeridad, para que el procedimiento instado ante este tribunal sea, de manera efectiva y verdadera, un instrumento de tutela y protección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fecha 14 de mayo de 2020 ingresó en el registro de este tribunal el informe del Ministerio Fiscal, en el que solicita la desestimación de la medida de suspensión del cumplimiento de la pena privativa de libertad solicitada por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sus alegaciones, el fiscal comienza haciendo referencia a la doctrina consolidada de este tribunal sobre la suspensión cautelar de la ejecución de las penas privativas de libertad impuestas en causa penal y, con cita expresa de los AATC 167/2013, de 9 de septiembre, FJ 1 c), y 95/2019, de 23 de julio, FJ 2, considera que la pena privativa de libertad impuesta a la recurrente supera con creces el límite que este tribunal adopta como directriz inicial, esto es, que la pena se sitúe por encima o por debajo de los cinco años de prisión, criterio que en la legislación penal permite diferenciar entre penas graves y menos graves. Este límite también se ve superado en este caso aunque se tuviera en cuenta el tiempo ya transcurrido en la situación de privación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circunstancias excepcionales referidas a la pandemia provocada por la Covid-19, el Ministerio Fiscal entiende que son ajenas a los criterios previstos en la legislación a la hora de regular la suspensión de las sentencias impugnadas, de manera que su incidencia en el cumplimiento de la pena impuesta puede hacerse valer ante las autoridades administrativas y judiciales competentes.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oponiéndose a la solicitud formulada, lo que debe hacerse extensivo igualmente a la suspensión de la pena de inhabilitación y a la condena en costas, según constante doctrina de este tribunal, aunque no hayan sido solicitadas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presentado el 20 de mayo de 2020, el procurador de los tribunales ya citado, interpuso, en nombre y representación de la actora, incidente de recusación contra todos los magistrados que en la actualidad componen el Tribunal Constitucional, con identificación nominal de cada uno de ellos, por entender que concurren las causas 7, 10 y 11 del art 219 LOPJ, bajo la invocación de los derechos a un tribunal imparcial, en relación con el derecho a un procedimiento con todas las garantías (art. 24.2 CE, arts. 6 y 13 CEDH, art. 47 de la Carta de los derechos fundamentales de la Unión Europea, y arts. 2.3 y 14.1 del Pacto internacional de derechos civiles y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16 de junio de 2020, el Pleno del Tribunal Constitucional acordó unir el escrito presentado formulando recusación, así como la formación de pieza separada, con suspensión de las actuaciones y designación del magistrado don Santiago Martínez-Vares García para que proponga al Pleno la resolución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ATC 62/2020, de 17 de junio, el Pleno del Tribunal Constitucional acordó la inadmisión a trámite de la recusación formulada por doña Carme Forcadell i Lluis. Interpuesto recurso de súplica por la representación de la recurrente y, previo trámite de audiencia al Ministerio Fiscal que solicitó la desestimación, este tribunal acordó por auto de 21 de julio de 2020 la desestimación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como regla general, que “la interposición del recurso de amparo no suspenderá los efectos del acto o sentencia impugnados”. No obstante, el apartado segundo del mismo precepto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lo tanto, la excepción a la regla general viene determinada por un doble condicionamiento. En primer lugar, que la ejecución del acto o resolución impugnados produzca un perjuicio que pudiera hacer perder al amparo su finalidad, para el caso de que fuera finalmente estimado. En segundo lugar,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(ATC 137/2017, de 16 de octubre,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 En definitiva, se trata de asegurar la “presunción de legitimidad que alcanza a todas las actuaciones de los poderes públicos, presunción inherente a la entera actividad pública (legislativa, ejecutiva y judicial)” (ATC 190/2015, de 5 de noviembre, FJ 2). Por ello, “la adopción de esta medida cautelar resulta pertinente solo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 Igualmente, este tribunal también ha advertido que la acreditación de los perjuicios es carga del recurrente, quien debe precisar de modo concreto los que de la ejecución se deriven, así como justificar o argumentar razonadamente la irreparabilidad de los mismos.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se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concreto de las penas privativas de libertad impuestas en una resolución judicial firme, la doctrina de este tribunal (AATC 198/2014, de 21 de julio, FJ 2; 34/2016, de 15 de febrero, FFJJ 2 a 4, que cita al anterior, y 95/2019, de 23 de julio, FJ 2) ha declarado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 (comillas interiores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cabe apuntar que el hecho de que la pena de prisión supere los cinco años y, por tanto, sea considerada grave [art. 33. 2 b) del Código penal], no siempre constituye una barrera infranqueable para la obtención de la suspensión cautelar, como así se recoge, entre otras resoluciones, en el ATC 18/2011, de 28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criterio para acceder o no a la suspensión de resoluciones judiciales que imponen penas privativas de libertad no es el de la duración de la pena impuesta, y si bien este tribunal no suspende con carácter general las resoluciones judiciales en lo que afecta a penas privativas de libertad superiores a cinco años, existen algunos supuestos en los que excepcionalmente se ha accedido a la suspensión de penas muy superiores, en atención a esos otros criterios a tener en cuenta en la ponderación, entre ellos el del tiempo de cumplimiento efectivo que reste, en la medida en que el mismo se conecta con el criterio genérico de la pérdida de eficacia del amparo. En este sentido, recordábamos en el ATC 39/2004, de 9 de febrero, FJ 3, que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última resolución, interesa destacar que se refiere expresamente a dos supuestos en los que, a pesar de la gravedad de las penas impuestas, concretamente doce años y un día de reclusión menor, en el caso analizado en el ATC 112/1998, de 18 de mayo, y once años y siete meses de prisión mayor más dos meses y un día de arresto mayor, en el supuesto contemplado en el ATC 312/1995, de 20 de noviembre, este tribunal acordó su suspensión habida cuenta de las excepcionales circunstancias concurrentes en ambas situaciones. En el supuesto analizado en el ATC 112/1998, la razón principal del otorgamiento de la suspensión queda reflejada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a pesar de la gravedad de los hechos y del delito por el que finalmente fue condenado, únicamente estuvo privado de libertad los días 10 y 11 de octubre de 1994, estimando el órgano judicial que el mantenimiento de su situación de libertad no interfería o dificultaba los fines perseguidos por la jurisdicción penal, ni ponía en grave riesgo la ejecución de su pronunciamiento definitivo. Incluso, después de inadmitirse el recurso de casación intentado y siendo la sentencia condenatoria firme y definitiva, la Audiencia Provincial de Palma de Mallorca mantuvo esa situación de libertad, de modo que la denegación de la suspensión ahora interesada supondría el ingreso en prisión, por primera vez, del demandante de amparo, quien durante todo este tiempo estuvo en libertad, sin que conste que haya tratado de eludir la acción de la Justicia y sin que judicialmente se apreciase la concurrencia de circunstancias que aconsejasen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motivo que determinó la suspensión de las penas en el recurso que fue objeto de examen en el ATC 312/1995 aparece explicitado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la naturaleza del delito y a la gravedad de la pena impuesta, el resultado de la ponderación, atendido el estado de cumplimiento de la misma —que, al llevar el recurrente preso desde noviembre de 1989, se halla al borde de la extinción— no puede ser sino el otorgamiento de la suspensión solicitada pues, de no llevarse esta a cabo, el amparo —caso de otorgamiento del mismo— no produciría efecto alguno sobre los derechos que se dicen vulnerados y, por otra parte, el interés general en la continuación del cumplimiento no es, sin duda, tan fuerte como podría haberlo sido en otras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debe añadirse que la referencia al cumplimiento previo de una parte sustancial de las penas impuestas figura en los AATC 1260/1988 y 229/1995 ya citados, mientras que en los AATC 235/1999, FJ 2; 126/1998, FJ 4 A), y 305/2001, FJ 2, específicamente se tomó en consideración esa circunstancia, a fin de justificar la suspensión cautelar de la pena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expuesta conduce a la desestimación de la solicitud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de amparo justifica su petición en una serie de fundamentos que, a los meros efectos de su valoración, se pueden sistematizar en dos bloques argumentales: en primer lugar, los que hacen referencia a cuestiones de carácter penal o procesal, y en segundo término, los referentes a la situación derivada de la grave crisis de salud pública provocada por el coronavirus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ámbito penal o procesal, se alude al tiempo ya transcurrido en prisión, así como a la plena disponibilidad ante la Justicia y la consiguiente ausencia de riesgo de fuga.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las circunstancias concurrentes en el presente caso permiten apreciar la presencia de un interés general por mantener la integridad de los pronunciamientos de la Sala Segunda del Tribunal Supremo, que aconsejan el cumplimiento de la pena impuesta. Nos encontramos ante una condena penal grave, de más de cinco años de prisión, que, en el caso de autos, es, además, superior al doble del límite de gravedad establecido por la doctrina de este tribunal anteriormente expuesta.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este criterio, como ya se ha anticipado, este tribunal “ha venido ponderando otras circunstancias relevantes, tales como,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 circunstancias todas ellas ‘que expresan la reprobación que el ordenamiento asigna al hecho delictivo y, por consiguiente, la magnitud del interés general en su ejecución’” (por todos, el ATC 137/2013, de 3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autos, según la sentencia núm. 459/2019 de la Sala Segunda del Tribunal Supremo, concurren las circunstancias que se han destacado supra en la doctrina constitucional para denegar la suspensión solicitada. Así, la pena privativa de libertad ha sido impuesta por la comisión de un delito que afecta al orden público (sedición). Le han sido imputados, además de a otras personas, a la actora, que ostentaba un alto cargo público (presidenta del Parlamento de la Comunidad Autónoma de Cataluña). Asimismo, los hechos tuvieron lugar en un contexto de inobservancia manifiesta del orden jurídico e institucional, y con una indudable trascendencia social que no exige un mayor desarrollo argumental. Por último, el tiempo de condena que le restaría por cumplir, de no ser anulada la sentencia impugnada, excede ampliamente del que, de ordinario, precisa este tribunal para la resolución de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riesgo de fuga, como se refleja en el ATC 256/2001, de 1 de octubre, FJ 3 c) —y se reitera en los AATC 343/2005, de 26 de septiembre, FJ 3, y 369/2005, de 24 de octubre, FJ 3— si la privación de libertad deriva de una sentencia condenatoria firme, la preservación del interés general constituye una finalidad prioritaria: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la prisión se impone como medida cautelar precisa generalmente, como momento justificativo, el riesgo de fuga que, de no concurrir la convertiría, a salvo otros fines legítimos, en sanción contraria a la presunción de inocencia. Pero, en este caso, impuesta la privación de libertad como condena, esto es, destruida formalmente la presunción de inocencia […], lo que nos compete valorar no es el riesgo de fuga o la posibilidad de que la sentencia sea o no finalmente cumplida, sino la procedencia de suspender la ejecución a la vista del interés general concurrente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la inexistencia del riesgo de fuga debe ser contemplada como una condición necesaria, pero no suficiente por sí sola pues, conforme a la doctrina establecida por este tribunal, también deben concurrir los restantes requisitos.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marco, consideramos que la adopción de la medida de suspensión solicitada supondría una perturbación grave de un interés protegido constitucionalmente, como es el de la garantía de la efectividad de la actuación de los poderes públicos, en este caso del Poder Judicial (art. 117.3 CE). Por lo tanto, acordar la suspensión sería contrario a uno de los condicionamientos establecidos en el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la demandante ha alegado la incidencia que, en el cumplimiento de la pena, puede tener la grave situación de salud pública derivada de la pandemia provocada por el coronavirus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establecido en el art. 56.1 LOTC, no basta con que la ejecución del acto o sentencia impugnados en el recurso de amparo origine cualesquiera perjuicios al recurrente, pues también es necesario que esos perjuicios puedan hacer perder al amparo solicitado su finalidad. La pérdida de la finalidad del recurso de amparo es un concepto jurídico que ha sido acotado por la doctrina constitucional, al poner de relieve el carácter irreparable de los perjuicios que se originarían, de no acordarse la suspensión del acto o sentencia de que se trate, y la necesaria vinculación de esos menoscabos con los derechos que se pretenden vulnerados. Dicha doctrina queda compendiada en el ATC 38/2018, de 22 de marzo, FJ 3,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regla general es, por tanto, que no procede la suspensión de los efectos de los actos o resoluciones judiciales impugnadas, en particular, en lo que hace a estas últimas, porque tal suspensión acarrea la perturbación de la función jurisdiccional, y supone una injerencia de la jurisdicción constitucional en las decisiones adoptadas por la jurisdicción ordinaria que, pese a poder estar justificada, ha de ser abordada con suma cautela, para evitar que este tribunal desempeñe funciones que le están constitucionalmente vedadas, por ser propias de la jurisdicción ordinaria. No obstante, la suspensión es posible, y el tribunal la acuerda excepcionalmente si el recurrente acredita suficientemente la irreparabilidad que, para sus derechos fundamentales, pudiera tener la ejecución del acto impugnado, privando al amparo de su finalidad. Esta consideración, relativa al supuesto en que cabe acordar la suspensión, tiene dos componentes. De un lado, la irreparabilidad de los efectos que la ejecución del acto o resolución recurrido pueda tener y, de otro, los derechos fundamentales sobre los que se proyectan los efectos irreparables de la no suspensión del acto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irreparabilidad del perjuicio, el tribunal viene interpretando que debe entenderse por tal aquel que provoque que el restablecimiento del recurrente en el derecho constitucional vulnerado sea tardío y convierta el amparo en meramente ilusorio y nominal (por todos, ATC 212/2009, de 9 de julio, FJ 1). Este perjuicio, además debe ser real o, por lo menos, inminente, con una racional probabilidad según las reglas de la experiencia, sin que sea posible alegar un perjuicio futuro o hipotético o un simple temor (en este sentido, AATC 490/1984, de 26 de julio; 399/1985, de 19 de junio; y 51/1989,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lo que se refiere a los derechos concernidos, se deduce claramente de nuestra jurisprudencia previa que son aquellos cuya vulneración se ha denunciado en el recurso de amparo, porque son estos los que deben ser asegurados por la medida cautelar que se solicita (en este sentido ATC 20/1992). El perjuicio irreparable que justifica la adopción de la medida cautelar, tal y como se deduce del artículo 56 LOTC, debe, además, ser consecuencia directa de la ejecución del acto de los poderes públicos por razón del cual se reclamen el amparo constitucional. Cualquier otra consideración llevaría a desnaturalizar, de un lado, el carácter meramente cautelar de la suspensión solicitada y, de otro, el principio básico de funcionamiento del recurso de amparo constitucional, que es la subsidiariedad”.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es consciente del grave problema que, por desgracia, afecta a la salud pública colectiva y, también, a la salud individual de cada ciudadano. Sin embargo, es notorio que el perjuicio a que alude la demandante no está conectado a las resoluciones objeto de impugnación en la demanda principal, sino a la pandemia a que se ha hecho referencia; y los derechos cuya vulneración potencial se alega para justificar la suspensión de la sentencia impugnada son diferentes de los que se invocan en la demanda principal. A nuestro juicio, tratándose de una persona que cumple condena privativa de libertad en un centro penitenciario, la concreta compatibilidad entre el cumplimiento de la pena y la salud de quien permanece internado en dicho establecimiento exige un ejercicio de ponderación que corresponde realizar a las autoridades penitenciarias, bajo el control del órgano judicial competente, que no es este tribunal. Dicho de otra forma, el régimen penitenciario que, por su propia naturaleza, se trata de un proceso en constante y dinámica evolución, no encuentra acomodo en la regulación constitucional como un criterio de valoración para la adopción de la medida de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la restricción de la vida familiar de la ahora recurrente no viene exclusivamente determinada por la situación de pandemia actual, sino que está directamente vinculada a la situación de prisión acordada por el tribunal sentenciador.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tipo de supuestos, como recuerda el ATC 55/2018, de 22 de mayo, FJ 2,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 En tal medida, ‘no procede en este incidente examinar ni la concurrencia ni la ausencia de apariencia de buen derecho’ de la pretensión de amparo formulada, criterio este del que no se vale la regulación del artículo 56 LOTC para conceder o denegar la protección cautelar pretendida (AATC 258/1996, de 24 de septiembre, y 187/2003, de 2 de junio) […]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es el caso ante el que nos encontramos. Acceder a la suspensión por los motivos alegados equivaldría a poner en cuestión la propia condena, de la que se deriva la situación de prisión. Es decir, supondría hacer una ponderación sobre la posible afectación de los derechos invocados y, por lo tanto, entrar a valorar aspectos que son propios de la decisión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procede acordar en este momento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pena privativa de libertad solicitada por la demandante de amparo doña Carme Forcadell i Lluis.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