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desestimar el presente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3 de marzo, el Procurador señor Pinto Marabotto interpuso recurso de amparo constitucional en nombre de don Francisco Toribio Casas, representante general ante la Administración electoral, a los efectos del referéndum convocado por Real Decreto 214/1986, de 6 de febrero, de la Mesa para la Unidad de los Comunistas. En la demanda se dijo impugnar la Sentencia de 28 de febrero del año en curso, de la Sala Cuarta de lo Contencioso-Administrativo de la Audiencia Territorial de Madrid, por la que se desestimó el recurso interpuesto por el demandante actual, a través del procedimiento previsto en el art. 49 de la Ley Orgánica 5/1985, de 19 de junio, contra el acuerdo de la Junta Electoral Central de 20 de febrero de 1986 por el que se designó la Comisión de Radio y Televisión a los efectos del señalado referéndum, excluyéndose de la misma a la Mesa para la Unidad de los Comunistas por conceptuarla como «grupo político sin representación parlamentaria».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marzo, la Sección Cuarta acordó tener por presentado el anterior escrito y dar al mismo el curso ordinario previsto en el Capítulo Segundo del Título III de la Ley Orgánica del Tribunal Constitucional, por no proceder su tramitación con arreglo a lo prevenido en el art. 49.4 de la Ley Orgánica 5/1985, de 19 de junio, toda vez que esta disposición legal no se refiere a la impugnación de actos como el que es ahora objeto de recurso, regulados no en el precepto citado, sino en el art. 65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10 de marzo, la representación actora interpuso contra la anterior providencia el recurso de súplica regulado en el art. 93.3 de la Ley Orgánica de este Tribunal, pidiendo que, estimándose dicho recurso, se dictase sin más dilación Sentencia resolviendo el amparo constitucional y aduciendo como fundamentación al respecto que, de no resolverse la queja constitucional por el «trámite privilegiado» dispuesto en el citado art. 49.4 de la Ley Orgánica 5/1985, el fallo que finalmente resolviera aquélla recaería una vez que el referéndum y sus consecuencias «hayan adoptado irreversible carta de naturaleza» y que, de otra parte, la improcedencia de dar al recurso la tramitación solicitada supondría, en definitiva, afirmar la inatacabilidad del acto de la Junta Electoral Central, «al que por extensión se contrae el amparo solicitado». La providencia recurrida -se concluye- contraría, además, lo dispuesto en el art. 24 de la Constitución, al hacer imposible la tutela efectiva de quien demanda por Jueces y Tribunales.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del día 7 de marzo se pusieron de manifiesto a la representación actora las razones determinantes de la imposibilidad de dar al recurso de amparo interpuesto otra tramitación distinta a la regulada, con carácter general, en nuestra Ley Orgánica, y estas razones, no desvirtuadas en Derecho por el recurrente en súplica, son ahora de reiterar. Es cierto que el art. 19.1 de la Ley Orgánica 2/1980, de 18 de enero, dispone que «contra los Acuerdos de las Juntas podrán interponerse los recursos o impugnaciones previstos en la legislación electoral general», pero este reenvío normativo no puede entenderse en los términos en que parece hacerlo la recurrente, esto es, abriendo frente a cualesquiera actos de dichas Juntas Electorales no importa qué tipo de recurso previsto en la legislación electoral general (Ley Orgánica 5/1985, de 19 de junio). Una recta interpretación de aquel art. 19.1 conduce, más bien, a ver en dicho precepto una extensión del régimen impugnatorio que se prevé frente a determinados actos de las Juntas en la legislación electoral general al ámbito del referéndum y cuando en el curso de éste se adoptasen por tales órganos de la Administración electoral resoluciones de carácter igual o análogo a las así susceptibles de los recursos previstos en la legislación electoral. En el caso actual, el acto que el demandante de amparo impugnó ante la Audiencia Territorial de Madrid -y frente al que, en una correcta identificación de la resolución supuestamente lesiva, deduce hoy su queja- fue el Acuerdo de 20 de febrero de 1986 por la que la Junta Electoral Central estableció la composición de la Comisión de Radio y Televisión prevista en el art. 65 de la Ley Orgánica 5/1985. Este precepto legal no establece recurso especial alguno frente al Acuerdo así adoptado, de tal manera que el reenvío operado por el art. 19.1 de la Ley Orgánica 2/1980, carece aquí de objeto. Por lo mismo, no es admisible el traslado que el recurrente intenta a este supuesto de lo prevenido, para un caso del todo diverso, en el art. 49.4 de la Ley Orgánica 5/1985, precepto éste en el que se establece una norma especial para la tramitación de los recursos de amparo que pudieran interponerse frente a la proclamación de candidatos por las Juntas Electorales. Ni esta norma de procedimiento prevé, en el sentido del art. 19.1 de la Ley Orgáica 2/1980, un recurso como el de amparo (establecido, como es obvio, en otro cuerpo legal) ni, de otra parte, la misma excepcionalidad de este trámite, que ha de ser objeto  de interpretación estricta, tolera una asimilación como la que el recurrente pretende.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anterior hace evidente la vacuidad del alegato final que se nos dirige en la súplica y según el cual la tramitación ordinaria del presente recurso de amparo depararía a quien lo interpuso lesión en su derecho fundamental reconocido en el art. 24.1 de la Constitución. El actor ha obtenido ya, ante la jurisdicción ordinaria, una respuesta en derecho a su pretensión y obtendrá de este Tribunal la que merezca a través del procedimiento previsto en nuestra Ley Orgánica para resolver los recursos de amparo constitucional. Con ello se satisface cumplidamente el derecho invocado, que no lo es, ciertamente, para que se abran en favor del justiciable recurso o procedimientos que la Ley desconoce o que reconoce sólo para supuestos y en casos distintos de los que están en la base de su pretensión.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desestimar el presente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