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formulado por doña María Begoña Mirones Morlán,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26 de junio de 1987, la Procuradora de los Tribunales doña Esperanza Jerez Monge interpone, en nombre y representación de doña María Begoña Mirones Morlán, recurso de amparo contra el Auto de 27 de mayo de 1987 de la Sección Tercera de la Audiencia Provincial de Madrid, que desestimó el recurso de súplica por ella interpuesto y confirmó el Auto de 13 de diciembre de 1986 dictado por la misma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a) Con fecha 18 de diciembre de 1985, la hoy recurrente de amparo formuló querella criminal por posible delito de apropiación indebida contra don José Lázaro Villa y don Romualdo de Toledo y Sanz, correspondiendo conocer de la misma al Juzgado de Instrucción núm. 29 de Madrid. Por Auto de 3 de diciembre de 1986 el Juez admitió a trámite la querella y acordó oír a los querellados. Efectuada la declaración del querellado José Lázaro Villar, el Juzgado dictó Auto el 3 de febrero de 1986 decretando el archivo de las diligencias, por no ser los hechos constitutivos de infracción penal. b) Formulado recurso de reforma ante el Juzgado de Instrucción, fue desestimado en Auto de 20 de febrero de 1986. Interpuesto recurso de apelación ante la Sección Tercera de la Audiencia Provincial, fue desestimado en Auto de 13 de diciembre de 1986, que confirmó el Auto de archivo. c) Contra el Auto dictado por la Audiencia, resolviendo el recurso de apelación, la querellante formuló recurso de súplica, que fue inadmitido en providencia de 27 de mayo de 1987, al considerar la Sala que el mismo era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demandante de amparo considera, en primer lugar, que las resoluciones recurridas vulneran el derecho a la tutela judicial efectiva del art. 24.1 de la Constitución, alegando que la única prueba practicada, de las diez propuestas, fue la declaración de uno de los querellados, cuando las diligencias propuestas eran totalmente necesarias para la comprobación de los hechos presuntamente constitutivos de un delito de apropiación indebida. Considera, además, que el Juzgado infringió el art. 312 de la Ley de Enjuiciamiento Criminal, pues no practicó las diligencias propuestas ni dictó resolución motivada para rechazarlas. En segundo lugar, estima que las resoluciones judiciales han vulnerado el art. 33.1 de la Constitución, pues unos hechos presuntamente delictivos han quedado impunes y los posibles responsables se han apropiado indebidamente de 25.000.000 de pesetas propiedad de la recurrente. En consecuencia, solicita de este tribunal que anule las resoluciones judiciales impugnadas y establezca la necesidad de efectuar por el Juzgado de Instrucción número 29 de Madrid las diligencias de pruebas solicitadas en el escrito de querella en averiguación de los posibles hechos delictivos.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julio de 1987, la Sección Cuarta (Sala Segunda) de este Tribunal acuerda conceder un plazo común de diez días al Ministerio Fiscal y a la solicitante de amparo para que aleguen lo que estimen pertinente en relación con la posible concurrencia del motivo de inadmisión consistente en carecer la demanda manifiestamente de contenido que justifique una decisión por parte del Tribunal Constitucional, conforme a lo establecido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30 de julio de 1987, el Ministerio Fiscal interesa la inadmisión del recurso de amparo por concurrir el motivo de inadmisión puesto de manifiesto en nuestra providencia. Considera el Fiscal, en primer lugar, que el Juez no tuvo que razonar explícitamente el rechazo de las pruebas propuestas por el querellante, pues, al concluir que los hechos objeto de querella no eran constitutivos de delito, por exigencia del art. 789 de la L.E.Cr., procede el archivo de las actuaciones, pronunciamiento que, obviamente, excluye la práctica de cualquier prueba. De otra parte, considera que el archivo motivado de las diligencias no lesiona el derecho a la tutela judicial del querellante y que lo contrario podría lesionar el mismo derecho de los querellados.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recurrente, en escrito presentado el 8 de septiembre de 1987, solicita la admisión del presente recurso de amparo por haber existido infracción del derecho a obtener la tutela judicial efectiva del art. 24.1 de la Constitución, reiterando que el archivo de las diligencias penales por el Juez instructor, así como la posterior confirmación del mismo por la Audiencia Provincial, causa indefensión a la querellante, pues, a su juicio, dichas resoluciones son arbitrarias e infringen lo dispuesto en los arts. 312 y 785 de la Ley de Enjuiciamiento Criminal, al haber sido tomadas a priori sin base fáctica ni jurídica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En el presente caso, concurre el motivo de inadmisión previsto en el artículo 50.2 b) de la LOTC, por carecer la demanda manifiestamente de contenido que justifique una decisión por parte de este Tribunal.  En primer lugar, la decisión de archivar las actuaciones sin practicar las diligencias de pruebas interesadas por la querellante no vulnera el derecho a obtener la tutela judicial efectiva del art. 24.1 de la Constitución, cuando, como ocurre en el presente caso, la prueba ya practicada demuestra la inexistencia del delito y el Juez o Tribunal pone de manifiesto esta circunstancia en la fundamentación de la resolución, sin que sea preciso, en estos supuestos, un rechazo expreso de las demás diligencias de pruebas propuestas. (En este mismo sentido, entre otros, AATC 819/1985, de 20 de noviembre, y 262/1986, de 19 de marzo.)  Además, en el presente caso, el hecho de que el Juez de Instrucción no dictara Auto rechazando las pruebas propuestas no ha causado indefensión a la recurrente, pues, de un lado, contra la decisión de archivar las actuaciones interpuso recurso de reforma ante el Juzgado de Instrucción, y, al serle denegado, formuló recurso de apelación ante la Audiencia Provincial, alegando como tema único en los mismos la ausencia de admisión y práctica de las pruebas propuestas en la querella, de lo que se deduce que pudo utilizar los mismos recursos que permitía la Ley de Enjuiciamiento Criminal para el caso de denegación expresa de las pruebas.  Por otro lado, en el Auto de admisión de querella, el Juez únicamente acordó como pruebas a practicar la declaración de los dos querellados y contra dicha resolución, debidamente notificada a la representación de la recurrente, pudo ésta interponer recurso de reforma para el caso de disconformidad con la misma.  Finalmente, la recurrente invoca violación del art. 33.1 de la Constitución.  Es evidente que tampoco puede tomarse esta alegación como fundamento de la demanda de amparo, porque la presunta vulneración del derecho a la propiedad no es susceptible de protección constitucional por la vía del recurso de amparo, aparte de que dicha invocación es puramente retórica y formal.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formulado por doña María Begoña Mirones Morlán,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