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793</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que la Sala acuerda conceder la suspensión solicitada, en los términos expuestos en el fundamento jurídico que antecede.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23 de febrero de 1988, el Procurador de los Tribunales don José de Murga y Rodríguez interpone, en nombre y representación de don José Murga Florido, recurso de amparo contra la Sentencia de 28 de enero de 1988 de la Sección Tercera de la Audiencia Provincial de Madrid, que desestimó el recurso de apelación por él interpuesto y confirmó la Sentencia dictada el 23 de abril de 1987 por el Juzgado de Instrucción núm. 7 de Madrid, que le condenaba, como autor de un delito de apropiación indebida del art. 535 del Código Penal, a la pena de un mes y un día de arresto mayor, accesorios y costas, así como al pago de indemnizaciones por valor total de 629.644 pesetas. Solicita la anulación de dichas Sentencias o, en su defecto, la dictada en apelación, por habérsele vulnerado su derecho a la presunción de inocencia y habérsele causado indefensión. Por otrosí solicita que, conforme a lo dispuesto en el art. 56 LOTC, se acuerde la suspensión de las Sentencias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acordó admitir a trámite el recurso y, por providencia de 23 de mayo de 1988, formar la correspondiente pieza separada de suspensión y conceder un plazo común de tres días al Ministerio Fiscal y al solicitante del amparo para que, dentro de dicho término, alegaran lo que estimasen pertinente en relación con la petición de suspensión interesada. En sus alegaciones interesa el Ministerio Fiscal que se dicte Auto por el que se acuerde la suspensión de la resolución judicial recurrida. La representación del recurrente, en escrito presentado el 6 de junio de 1988, se reitera en la petición y argumentos expuestos en su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Sin duda, la ejecución de las Sentencias impugnadas, en lo que se refiere a la pérdida de libertad y penas accesorias en ellas dispuestas, supondría que, caso de concederse el amparo solicitado, éste ya no tuviera finalidad práctica, al no ser, en puridad, reparable el daño causado. Ahora bien, tales Sentencias disponen también indemnizaciones en favor de terceros, cuyos intereses no deben resultar indebidamente puestos en peligro por la dilación que supone la tramitación de este recurso. Por ello, y a la vista de lo dispuesto en el art. 56 de la LOTC, procede acordar la suspensión solicitada, condicionada, en lo que atañe a las indemnizaciones concedidas, al afianzamiento, por parte del recurrente y en la forma que estime oportuna el Juez de Instrucción, de la satisfacción, en su momento y en el supuesto de no apreciarse el presente recurso, de la indemnización acordada en las Sentencias impugnadas.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que la Sala acuerda conceder la suspensión solicitada, en los términos expuestos en el fundamento jurídico que antecede.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