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2294-1995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2.294/1995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a la solicitud de suspensión de la ejecución de la Sentencia de 14 de abril de 1994 dictada por la Sección Primera de la Audiencia Provincial de Cádiz, en la causa procedente del procedimiento abreviado núm.</w:t>
            </w:r>
          </w:p>
          <w:p w:rsidRPr="00D13423" w:rsidR="00AD51A7" w:rsidRDefault="00AD51A7">
            <w:pPr>
              <w:rPr/>
            </w:pPr>
            <w:r w:rsidRPr="&lt;w:rPr xmlns:w=&quot;http://schemas.openxmlformats.org/wordprocessingml/2006/main&quot;&gt;&lt;w:color w:val=&quot;800080&quot; /&gt;&lt;w:szCs w:val=&quot;24&quot; /&gt;&lt;/w:rPr&gt;">
              <w:rPr/>
              <w:t xml:space="preserve">113/93 tramitado ante el Juzgado de Instrucción núm. 2 de los de Sanlúcar de Barrameda, sólo en lo que concierne a la pena privativa de libertad impuesta y a la responsabilidad personal subsidiaria para caso de impago de la multa.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21 de junio de 1995, la representación procesal del demandante de amparo ha interpuesto recurso contra la Sentencia de 26 de abril de 1995 de la Sala Segunda del Tribunal Supremo, dictada en el recurso de casación 1.084/94 por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a) El demandante de amparo fue condenado por la Audiencia Provincial de Cádiz como autor de un delito contra la salud pública a la pena de dos años, cuatro meses y un día de prisión menor, multa de 51.000.000 de pesetas -con arresto sustitutorio de 60 días- y al pago de las costas. </w:t>
      </w:r>
    </w:p>
    <w:p w:rsidRPr="00C21FFE" w:rsidR="00AD51A7" w:rsidRDefault="00AD51A7">
      <w:pPr>
        <w:rPr/>
      </w:pPr>
      <w:r w:rsidRPr="&lt;w:rPr xmlns:w=&quot;http://schemas.openxmlformats.org/wordprocessingml/2006/main&quot;&gt;&lt;w:lang w:val=&quot;es-ES_tradnl&quot; /&gt;&lt;/w:rPr&gt;">
        <w:rPr/>
        <w:t xml:space="preserve">Recurrida en casación fue desestimado el recurso, pese a que se declaró nula la entrada y registro en el domicilio del penado por falta de motivación, pero se consideró que la condena penal se basaba en otros elementos probatorios que permitieron fundamental la sentencia condenatoria.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en amparo, que articula su queja en virtud del art. 44 LOTC, imputa a la resolución judicial recurrida vulneración de los arts. 18.1, 18.2, 24.1 y 24.2 de la C.E. por considerar vulnerado su derecho a la inviolabilidad del domicilio, el derecho a conocer la acusación y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Segunda), mediante providencia de fecha 9 de mayo de 1996 acordó admitir a trámite el recurso de amparo, y dirigir comunicación al órgano judicial citado a fin de que, en el plazo de diez días, emplazara a quienes hubieran sido parte en el proceso penal de que trae causa la presente litis, con remisión de fotocopia adverada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Segunda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registrados el 17 de mayo de 1996 el recurrente en amparo y el Ministerio Fiscal han presentado sus alegaciones en el incidente de suspensión, reiterando aquél lo expuesto en su escrito de demanda y manifestando éste, su no oposición al otorgamiento de la suspensión instada de la Sentencia impugnada en lo que se refiere a la pena de prisión y las accesorias legales señaladas, sin que se deba alzar respecto a la condena en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en supuestos, como el presente, en que se dilucida la posible privación de libertad del recurrente como efecto principal de la condena a pena de prisión, o subsidiario de la condena a pena de multa, procede acceder a la suspensión solicitada ya que de ejecutarse la pena privativa de libertad o la pecuniaria en su forma de responsabilidad personal subsidiaria por impago de la misma, la eventual concesión del amparo, perderla su finalidad al provocar la ejecución un perjuicio irreparable.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w:t>
      </w:r>
    </w:p>
    <w:p w:rsidRPr="00C21FFE" w:rsidR="00AD51A7" w:rsidRDefault="00AD51A7">
      <w:pPr>
        <w:rPr/>
      </w:pPr>
      <w:r w:rsidRPr="&lt;w:rPr xmlns:w=&quot;http://schemas.openxmlformats.org/wordprocessingml/2006/main&quot;&gt;&lt;w:lang w:val=&quot;es-ES_tradnl&quot; /&gt;&lt;/w:rPr&gt;">
        <w:rPr/>
        <w:t xml:space="preserve">En el caso considerado, no procede sin embargo suspender la ejecución de la condena en costas anudada a la condena penal por cuanto su ejecución sólo podría ocasionar si el amparo llegara a otorgarse, un perjuicio económico que sí es reversible.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a la solicitud de suspensión de la ejecución de la Sentencia de 14 de abril de 1994 dictada por la Sección Primera de la Audiencia Provincial de Cádiz, en la causa procedente del procedimiento abreviado núm.</w:t>
      </w:r>
    </w:p>
    <w:p w:rsidRPr="" w:rsidR="00AD51A7" w:rsidRDefault="00AD51A7">
      <w:pPr>
        <w:rPr/>
      </w:pPr>
      <w:r w:rsidRPr="&lt;w:rPr xmlns:w=&quot;http://schemas.openxmlformats.org/wordprocessingml/2006/main&quot;&gt;&lt;w:szCs w:val=&quot;24&quot; /&gt;&lt;/w:rPr&gt;">
        <w:rPr/>
        <w:t xml:space="preserve">113/93 tramitado ante el Juzgado de Instrucción núm. 2 de los de Sanlúcar de Barrameda, sólo en lo que concierne a la pena privativa de libertad impuesta y a la responsabilidad personal subsidiaria para caso de impago de la multa.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