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diciembre de 1996 tuvo entrada en el Registro General de este Tribunal escrito de la representación procesal de don Pedro Sola Fernández, por medio del cual interpone recurso de amparo frente al Auto de 4 de noviembre de 1996 de la Sala Tercera del Tribunal Supremo, que inadmite recurso de casación para unificación de doctrina número 4.211/96.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interpuso recurso extraordinario de casación para unificación de doctrina frente a la Sentencia de 29 de abril de 1996 de la Sala de lo Contencioso-Administrativo, con sede en Granada, del Tribunal Superior de Justicia de Andalucía, por la cual se desestimaba el recurso contencioso-administrativo que en su día interpuso frente a liquidación correspondiente al impuesto sobre el incremento de valor de los terrenos girada por el Ayuntamiento de Úbeda. </w:t>
      </w:r>
    </w:p>
    <w:p w:rsidRPr="00C21FFE" w:rsidR="00AD51A7" w:rsidRDefault="00AD51A7">
      <w:pPr>
        <w:rPr/>
      </w:pPr>
      <w:r w:rsidRPr="&lt;w:rPr xmlns:w=&quot;http://schemas.openxmlformats.org/wordprocessingml/2006/main&quot;&gt;&lt;w:lang w:val=&quot;es-ES_tradnl&quot; /&gt;&lt;/w:rPr&gt;">
        <w:rPr/>
        <w:t xml:space="preserve">b) El referido recurso fue inadmitido en virtud del Auto ahora recurrido por incumplir el escrito de preparación los requisitos exigidos por el art. 102.a.4 L.J.C.A., lo que legalmente acarrea tal efecto, de conformidad con el art. 100.3 de dicha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del art. 24 de la Constitución, al habérsele generado indefensión, según alega, por la asunción de un criterio de «estrictísimo» formalismo en la admisión del recurso, aparejando al defecto apreciado unas consecuencias desproporcionadas.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del Auto impugnado, expresando que de la misma se podrían derivar perjuicios de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febrero de 1997, la Sección Segunda de este Tribunal acordó admitir a trámite la demanda de amparo y, a tenor de lo dispuesto en el art. 51 LOTC, requerir a los órganos judiciales que conocieron del asunto para que remitan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11 de marzo de 1997, el Fiscal interesó la no suspensión de la resolución impugnada, por cuanto el demandante de amparo se ha limitado a invocar la existencia de un perjuicio de difícil reparación, pero sin aportar la más mínima explicación o razonamiento sobre tal extremo, lo que es una carga que pesa sobre él; por otra parte, recuerda que se trata de un acto negativo la inadmisión de un recurso, siendo así que ya la propia admisión a trámite del recurso de amparo tiene la eficacia de mantener el status quo jurídico hasta que se resuelva sobre su otorgamiento. Por último razona acerca de que, en ningún caso, podría extenderse la suspensión a la Sentencia frente a la que se interpuso la casación para unificación de doctrina, dado que no es objeto de impugnación en este proceso y que, en última instancia, se trata de una resolución de consecuencias exclusivamente económicas.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Según se hace constar en diligencia de 13 de marzo de 1997, el demandante de amparo no ha evacuado el trámite conferido en esta pieza.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el art. 56 LOTC, procede la suspensión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35/1996). Para justificar la suspensión no es suficiente cualquier tipo de perjuicio, molestia o dificultad, por lo que se ha estimado que, como las resoluciones judiciales con efectos meramente económicos, en principio, no causan ningún perjuicio irreparable, no procede su suspensión (ATC 275/1990).</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anteriormente expuesta al presente caso debe conducir a la desestimación de la solicitud de suspensión, toda vez que no se aprecia que la inadmisión que se combate cause ningún perjuicio que pueda comprometer la finalidad del presente proceso constitucional, siendo. por lo demás evidente que, caso de prosperar el amparo, no existirá ningún impedimento para la tramitación y resolución del recurso extraordinario de casación para unificación de doctrina con cuya admisión se restablecería al recurrente en la integridad del derecho que dice vulnerado.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