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Julio César Lastres Mendiola en el recurso de amparo interpuesto contra la Sentencia dictada el 6 de septiembre de 2001 por el Juzgado de Instrucción núm. 1 de Haro (La Rioja).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septiembre de 2001, don Ignacio Aguilar Fernández, Procurador de los Tribunales, y de don Julio César Lastres Mendiola, interpuso recurso de amparo contra la Sentencia del Juzgado de Instrucción núm. 1 de Haro que desestimó el recurso de apelación interpuesto contra la Sentencia de 25 de junio del mismo año dictada por el Juzgado de Paz de Santo Domingo de la Calzada que le condenó como autor de una falta de injurias a la pena de diez días de multa, con una cuota diaria de 1000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25 de julio de 2001 el Juzgado de Paz de Santo Domingo de la Calzada dictó Sentencia por la que condenaba al demandante de amparo como autor de una falta de injurias del art. 620.2 del Código Penal a la pena de diez días multa, a razón de 1000 pesetas de cuota diaria, con arresto sustitutorio para caso de impago. </w:t>
      </w:r>
    </w:p>
    <w:p w:rsidRPr="00C21FFE" w:rsidR="00AD51A7" w:rsidRDefault="00AD51A7">
      <w:pPr>
        <w:rPr/>
      </w:pPr>
      <w:r w:rsidRPr="&lt;w:rPr xmlns:w=&quot;http://schemas.openxmlformats.org/wordprocessingml/2006/main&quot;&gt;&lt;w:lang w:val=&quot;es-ES_tradnl&quot; /&gt;&lt;/w:rPr&gt;">
        <w:rPr/>
        <w:t xml:space="preserve">b) Contra esta sentencia recurrió en apelación el demandante de amparo. El 6 de septiembre de 2001 se dictó Sentencia por el Juzgado de Instrucción de Haro que desestimó el recurso de apelación, confirmó la Sentencia recurrida e impuso las costas del recurso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por el recurrente se dicte Sentencia reconociendo que los órganos judiciales han vulnerado sus derechos a la libertad de expresión, a la libertad ideológica y a la participación en los asuntos públicos, así como sus derechos a un proceso con todas las garantías y a la presunción de inocencia. </w:t>
      </w:r>
    </w:p>
    <w:p w:rsidRPr="00C21FFE" w:rsidR="00AD51A7" w:rsidRDefault="00AD51A7">
      <w:pPr>
        <w:rPr/>
      </w:pPr>
      <w:r w:rsidRPr="&lt;w:rPr xmlns:w=&quot;http://schemas.openxmlformats.org/wordprocessingml/2006/main&quot;&gt;&lt;w:lang w:val=&quot;es-ES_tradnl&quot; /&gt;&lt;/w:rPr&gt;">
        <w:rPr/>
        <w:t xml:space="preserve">Por otrosí, en la misma demanda, al amparo de lo establecido en el artículo 56.1 LOTC el demandante solicita se deje en suspenso la ejecución de la sentencia, sin otras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2003, la Sección Primera de este Tribunal acordó la admisión a trámite de la demanda así como, a tenor de lo establecido en el artículo 51 LOTC, requerir atentamente al Juzgado de Instrucción núm. 1 de Haro y al Juzgado de Paz de Santo Domingo de la Calzada para que en plazo de diez días remitieran testimonio del procedimiento, así como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20 de enero de 2003 tuvo entrada en este Tribunal el escrito de alegaciones del Ministerio Fiscal. En dicho escrito, tras un breve relato de los antecedentes procesales, el Ministerio Público interesa la denegación de la suspensión interesada. Con cita de los AATC 146/2001, 279/2001, 293/2001 y 41/2002 el Ministerio Fiscal no procede pues al contener la Sentencia recurrida un pronunciamiento exclusivamente patrimonial su inejecución no ocasionará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no ha realizado alegaciones sobre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Y 186/1998,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lleva al rechazo de la suspensión interesada por el demandante de amparo, pues de conformidad con el criterio de este Tribunal, se trata de una condena de contenido económico (una pena de multa), y consecuentemente los perjuicios anejos a su ejecución son perfectamente reparables, incluso aunque se otorgase el amparo interesado (AATC 152/1996, 371/1996, 91/1997, 181/1998, 182/1998 y 273/1998189/2000, 193/2000, 204/2000 y 41/2002). Este criterio se ve confirmado porque el recurrente no acredita de qué modo el cumplimiento de lo resuelto causaría un perjuicio que hiciera perder al amparo su finalidad. Tampoco procede,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y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Julio César Lastres Mendiola en el recurso de amparo interpuesto contra la Sentencia dictada el 6 de septiembre de 2001 por el Juzgado de Instrucción núm. 1 de Haro (La Rioja).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