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Agrupación electoral Zamudioztarron Irrintzia.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rechazada.</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Agrupación electoral Zamudioztarron Irrintzia.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María Emilia Casas Baamonde al Auto recaído en el recurso de amparo núm. 2978-2003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