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los Autos de la Sección Cuarta de la Audiencia Provincial de Valencia de 29 de noviembre de 2002 y 9 de enero de 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febrero de 2003, la Procuradora de los Tribunales doña María del Mar Gómez Rodríguez, interpuso, en nombre de don Roberto Alarcón García, recurso de amparo contra los Autos de la Sección Cuarta de la Audiencia Provincial de Valencia de 29 de noviembre de 2002 y de 9 de enero de 2003, en virtud de los cuales se prorrogó la prisión provisional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 la libertad personal (art. 17.1 CE) en relación con el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septiembre de 2003,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2 de octubre de 2003, el Ministerio Fiscal, interesó la denegación de la suspensión de las resoluciones, de conformidad con la jurisprudencia reiterada de este Tribunal (AATC 180/1998, 275/1999, 180/2000, 292/2001), pues la suspensión de la ejecución constituiría una auténtica anticipación de un eventual amparo y supondría una grave perturbación en el ejercicio de las funciones jurisdiccionales y en el interés general que su ejecución implica. Todo ello, sin perjuicio de que se de tramitación preferente al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Transcurrido el plazo para efectuar alegaciones, la representación procesal del recurrente de amparo no las formuló.</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de las resoluciones judiciales de prórroga de la prisión provisional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advierte el Ministerio Fiscal, es doctrina reiterada de este Tribunal que si bien la afección del derecho a la libertad personal de las resoluciones impugnadas supone que su ejecución causa perjuicios irreparables, sin embargo, la suspensión de la ejecución de las resoluciones judiciales relativas a medidas cautelares de acuerdo o prórroga de prisión provisional equivaldría a un otorgamiento anticipado del amparo, no procediendo en este trámite un examen de fondo de la demanda. En particular, hemos declarado: "Cuando se impugnan resoluciones de prisión provisional fundamentadas precisamente, en que lo que se vulnera es el derecho a la libertad personal, la no suspensión de la resolución impugnada, y por tanto el mantenimiento de la privación de libertad decretada, siempre menoscaba la finalidad del amparo si éste fuera finalmente otorgado ya que la situación de privación de libertad se consolida hasta tal momento. Ahora bien, la automaticidad en decretar la suspensión de tales medidas supondría la resolución anticipada del fondo del recurso. Hemos reiterado que cuando lo que se recurre son resoluciones judiciales existe un interés general en su ejecución, y, a su vez, que este principio ha de ser matizado caso a caso, pues en otro supuesto nunca cabría la suspensión de resoluciones judiciales al convertirse la perturbación del interés general causa de denegación de la misma. La mera perturbación que provoca ya la pérdida de ejecutividad de una resolución judicial no puede impedir por sí sola la suspensión (ATC 169/1995), por tanto el análisis ha de efectuarse caso por caso valorando los intereses en conflicto. Este Tribunal no puede en este trámite efectuar el análisis de la cuestión de fondo ni anticipar su resolución, tampoco puede examinar ni cuestionar las bases fácticas sobre las que se sustenta la medida, por lo que en el caso concreto no puede indagar las finalidades concretas de la medida impugnada, aunque sí tener en cuenta que la prisión provisional es a priori, pese a su excepcionalidad, un medio insoslayable para posibilitar la administración de justicia penal y la evitación de nuevos comportamientos delictivos (STC 128/1995)." [ATC 332/1996; en sentido similar AATC 249/1996, 22/1997, 164/1998, 147/2000, 275/1999, 121/2001].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lo expuesto no procede conceder la suspensión solicitada; sin embargo, la gravedad y certeza de los perjuicios que esta denegación puede ocasionar obligan a este Tribunal a reducir en lo posible esos efectos, con lo que, como se ha hecho en otros casos, y singularmente en los antes citados, la Sala acuerda acelerar la resolución del presente recurso, incluso anteponiéndola en el orden de señalamientos (AATC 249/1996, 22/1997, 164/1998, 147/2000, 275/1999, 121/2001).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los Autos de la Sección Cuarta de la Audiencia Provincial de Valencia de 29 de noviembre de 2002 y 9 de enero de 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