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364</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los Autos de la Sección Cuarta de la Audiencia Provincial de Valencia de 29 de noviembre de 2002 y 9 de enero de 2003.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 de febrero de 2003, la Procuradora de los Tribunales doña María del Mar Gómez Rodríguez, interpuso, en nombre de don Roberto Alarcón García, recurso de amparo contra los Autos de la Sección Cuarta de la Audiencia Provincial de Valencia de 29 de noviembre de 2002 y de 9 de enero de 2003, en virtud de los cuales se prorrogó la prisión provisional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la vulneración del derecho a la libertad personal (art. 17.1 CE) en relación con el derecho a la tutela judicial efectiva sin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24 de septiembre de 2003, la Sección Segunda de este Tribunal acordó admitir a trámite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ante este Tribunal el 2 de octubre de 2003, el Ministerio Fiscal, interesó la denegación de la suspensión de las resoluciones, de conformidad con la jurisprudencia reiterada de este Tribunal (AATC 180/1998, 275/1999, 180/2000, 292/2001), pues la suspensión de la ejecución constituiría una auténtica anticipación de un eventual amparo y supondría una grave perturbación en el ejercicio de las funciones jurisdiccionales y en el interés general que su ejecución implica. Todo ello, sin perjuicio de que se de tramitación preferente al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Transcurrido el plazo para efectuar alegaciones, la representación procesal del recurrente de amparo no las formuló.</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En el caso, se ha de examinar la petición de suspensión de las resoluciones judiciales de prórroga de la prisión provisional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advierte el Ministerio Fiscal, es doctrina reiterada de este Tribunal que si bien la afección del derecho a la libertad personal de las resoluciones impugnadas supone que su ejecución causa perjuicios irreparables, sin embargo, la suspensión de la ejecución de las resoluciones judiciales relativas a medidas cautelares de acuerdo o prórroga de prisión provisional equivaldría a un otorgamiento anticipado del amparo, no procediendo en este trámite un examen de fondo de la demanda. En particular, hemos declarado: "Cuando se impugnan resoluciones de prisión provisional fundamentadas precisamente, en que lo que se vulnera es el derecho a la libertad personal, la no suspensión de la resolución impugnada, y por tanto el mantenimiento de la privación de libertad decretada, siempre menoscaba la finalidad del amparo si éste fuera finalmente otorgado ya que la situación de privación de libertad se consolida hasta tal momento. Ahora bien, la automaticidad en decretar la suspensión de tales medidas supondría la resolución anticipada del fondo del recurso. Hemos reiterado que cuando lo que se recurre son resoluciones judiciales existe un interés general en su ejecución, y, a su vez, que este principio ha de ser matizado caso a caso, pues en otro supuesto nunca cabría la suspensión de resoluciones judiciales al convertirse la perturbación del interés general causa de denegación de la misma. La mera perturbación que provoca ya la pérdida de ejecutividad de una resolución judicial no puede impedir por sí sola la suspensión (ATC 169/1995), por tanto el análisis ha de efectuarse caso por caso valorando los intereses en conflicto. Este Tribunal no puede en este trámite efectuar el análisis de la cuestión de fondo ni anticipar su resolución, tampoco puede examinar ni cuestionar las bases fácticas sobre las que se sustenta la medida, por lo que en el caso concreto no puede indagar las finalidades concretas de la medida impugnada, aunque sí tener en cuenta que la prisión provisional es a priori, pese a su excepcionalidad, un medio insoslayable para posibilitar la administración de justicia penal y la evitación de nuevos comportamientos delictivos (STC 128/1995)." [ATC 332/1996; en sentido similar AATC 249/1996, 22/1997, 164/1998, 147/2000, 275/1999, 121/2001].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atención a lo expuesto no procede conceder la suspensión solicitada; sin embargo, la gravedad y certeza de los perjuicios que esta denegación puede ocasionar obligan a este Tribunal a reducir en lo posible esos efectos, con lo que, como se ha hecho en otros casos, y singularmente en los antes citados, la Sala acuerda acelerar la resolución del presente recurso, incluso anteponiéndola en el orden de señalamientos (AATC 249/1996, 22/1997, 164/1998, 147/2000, 275/1999, 121/2001).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los Autos de la Sección Cuarta de la Audiencia Provincial de Valencia de 29 de noviembre de 2002 y 9 de enero de 2003.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