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3538-2001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3538-2001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las sentencias y resoluciones judiciales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octubre de 2001 tuvo entrada en el Registro del Tribunal escrito de la Procuradora doña María Belén Casino González, interponiendo recurso de amparo de doña Eva Motjar González contra el Auto de 16 de Mayo de 2001 de la Audiencia Provincial de Barcelona, Sección Séptima de lo Penal, rollo 164-2001, el Auto de 15 de febrero de 2001 del Juzgado de lo Penal núm. 13 de Barcelona, PA 269-2000, ejecutoria 477-2000, y el resto de las resoluciones judiciales dictadas con posterioridad a la celebración de la vista oral del PA 269-2000, celebrada el 3 de julio de 2000 ante el Juzgado de lo Penal núm. 13 de Barcelona, tanto por dicho Juzgado como por la Sección Séptima de lo Penal de la Audiencia de Barcelona, las cuales han sido confirmadas hasta dictarse las anteriores, tras el agotamiento de todos los recursos legales posibles.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de los siguientes hechos: </w:t>
      </w:r>
    </w:p>
    <w:p w:rsidRPr="00C21FFE" w:rsidR="00AD51A7" w:rsidRDefault="00AD51A7">
      <w:pPr>
        <w:rPr/>
      </w:pPr>
      <w:r w:rsidRPr="&lt;w:rPr xmlns:w=&quot;http://schemas.openxmlformats.org/wordprocessingml/2006/main&quot;&gt;&lt;w:lang w:val=&quot;es-ES_tradnl&quot; /&gt;&lt;/w:rPr&gt;">
        <w:rPr/>
        <w:t xml:space="preserve">a) Doña Eva Motjar González, hoy demandante de amparo, fue detenida, el 16 de junio de 2000, como autora de un presunto delito de robo con fuerza en las cosas. Puesta en libertad tras prestar declaración, fue citada para comparecer a la vista oral el 13 de julio de 2000 ante el Juzgado de lo Penal núm. 13 de Barcelona. Dicho Juzgado había señalado como fecha para la celebración del juicio oral el 3 de julio de 2000, siendo emplazadas para dicha fecha la defensa, el Ministerio Fiscal y los testigos. Ese día se celebró la vista oral a la que incompareció la demandante de amparo por lo que la defensa solicitó la suspensión del juicio, suspensión que fue denegada. b) Personada el 13 de julio la demandante de amparo en el Juzgado, se le indicó que ya se había celebrado el juicio y dictado Sentencia. En ella se condena a la hoy recurrente, como autora de un delito de robo con fuerza en las cosas, a la pena de seis meses de prisión e inhabilitación especial para el ejercicio del derecho de sufragio pasivo durante el tiempo de la condena, así como al pago de las costas procesales. Dicha Sentencia fue recurrida en apelación ante la Audiencia Provincial de Barcelona ese mismo 13 de julio. El 5 de octubre de 2000 se comunicó a la Sala la cédula de citación que la demandante de amparo había recibido para la comparecencia al juicio. La Sala resolvió por Providencia de 16 de octubre de 2000 unir a los autos dicho escrito y resolver sobre su contenido en Sentencia. c) El 30 de octubre de 2000 se dictó Sentencia por la Sala de apelación confirmando la del Juzgado de lo Penal y sin resolver sobre la nulidad invocada. El 17 de noviembre de 2000 la defensa de la demandante de amparo solicitó aclaración de la Sentencia dictada en apelación. El 18 de diciembre de 2000 la Sala dictó Auto por el que resolvía no haber lugar a aclarar la Sentencia. El 16 de enero de 2001 se interpuso incidente de nulidad de actuaciones, resuelto por Auto de 15 de febrero de 2001 que desestimó la causa de nulidad y no dio lugar a la reforma del Auto de 23 de noviembre de 2000, que disponía la ejecución de la Sentencia. Presentado recurso de queja, fue desestimado por Auto de 16 de mayo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la recurrente que se ha vulnerado su derecho a la tutela judicial efectiva, reconocido en el art. 24.1 CE, puesto que se ha producido una clara indefensión, al haber sido privada por el Juzgado y la Audiencia Provincial de su derecho a ser oída en juicio, sin que dicha privación haya sido remediada posteriormente. Concluye, al amparo de lo dispuesto en el art. 56 LOTC, manifestando que interesa se ordene la suspensión de la ejecutoria 477-2000 seguida en el Juzgado de lo Penal núm. 13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11 de diciembre de 2003 de la Sección Segunda del Tribunal Constitucional se acordó la admisión a trámite de la demanda de amparo reseñada y requerir a la Sección Séptima de la Audiencia Provincial de Barcelona para que en el plazo de diez días remitiera testimonio del rollo núm. 164-2001, y al Juzgado de lo Penal núm. 13 de dicha capital para que emplazara a quienes fueron parte en el procedimiento, con excepción de la recurrente en amparo, que aparece ya personada, para que en el plazo de diez días puedan comparecer en el proceso constitucional, así como formar pieza separada de suspensión y, de conformidad con lo prevenido en el art. 56 LOTC, conceder un plazo común de tres días al Ministerio Fiscal y a la solicitante de amparo, para que dentro de dicho término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22 de diciembre de 2003 tuvo entrada en el Registro de este Tribunal el escrito de alegaciones de la demandante de amparo. En él manifiesta que el 2 de octubre de 2002 se dictó, por el Juzgado de lo Penal núm. 13 de Barcelona, Auto de suspensión de la ejecución de la pena que le fue impuesta con base en que se cumplen los requisitos de los arts. 80 y 81 del Código penal. Sin embargo, afirma, no por ello deben dejar de suspenderse los efectos de la resolución recurrida mientras dure la tramitación del recurso de amparo, pues la misma sigue desplegando los efectos de la cosa juzgada. La suspensión, además, no va a perturbar los intereses generales ni los derechos fundamentales ni libertades públicas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19 de diciembre de 2003 presentó sus alegaciones el Ministerio Fiscal. En las mismas señala que es procedente la suspensión de la pena privativa de libertad, dada su escasa duración, siempre que aquélla no se haya ejecutado ya, y, en consecuencia, de la accesoria de inhabilitación especial que sigue la suerte de la pena principal; por el contrario, no procede la suspensión de la condena en costas, por ser un pronunciamiento de contenido exclusivamente económico, fácilmente 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  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Sentada esta doctrina general, hemos de examinar las circunstancias particulares del presente caso, circunstancias que determinan que la suspensión haya sido solicitada por la demandante de amparo respecto de los pronunciamientos de las Sentencias recurridas que son, por un lado, de imposición de la pena privativa de libertad, de seis meses de prisión, con accesoria de inhabilitación especial para el ejercicio del derecho de sufragio pasivo; y, por otro, de una carga de tipo patrimonial como es la condena en costas de la primera instancia.  Respecto a ésta segunda es bien conocida nuestra doctrina en el sentido de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185/1998, 106/2002 y 119/2003, entre otros muchos). Dado el carácter exclusivamente económico de este pronunciamiento de la Sentencia citada, el conflicto hay que resolverlo, como enseña la doctrina constitucional (ver AATC 239/1990, 6/1996, 61/1997, 89/1997, 109/1997 y 13/1999), sacrificando el interés del recurrente, porque éste es perfectamente reparable en el caso de que se concediese el amparo que solicita, lo que hace que en estos aspectos del presente supuesto la causa que, conforme al art.  56.1 LOTC, justifica que pueda acordarse la suspensión de la ejecución de la resolución recurrida, esto es, que la misma hubiere de ocasionar un perjuicio que haría perder al amparo su finalidad, no tenga virtualidad ninguna.  Esta línea de no suspensión de la condena en las costas procesales ha sido la adoptada repetidas veces por este Tribunal (AATC 8/1996; 136/1996 y 371/1996, por todos) en decisiones en las que se razonó, como hacemos ahora, que por entrañar un pago en dinero, su ejecución no provoca ningún perjuicio que pueda hacer inútil el recurso de amparo, por lo que no procede acordar la suspensión de la ejecución en este extremo de las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pena de privación de libertad y de su accesoria de inhabilitación para el derecho de sufragio pasivo, es de destacar, en primer término y como aduce en su escrito de alegaciones la demandante de amparo, que la condena ha sido ya suspendida por Auto de 2 de octubre de 2002 del Juzgado de lo Penal núm. 13 de Barcelona, por lo que una nueva suspensión de la misma carecería de objeto. Dicha suspensión alcanza, como es lógico, a la pena accesoria de inhabilitación por lo que tampoco nos corresponde pronunciarnos sobre la misma. En ambos casos no tendría ningún sentido que el Tribunal Constitucional superpusiera a la decisión de la jurisdicción ordinaria una propia con exactamente los mismos efectos y, por ello, no se puede considerar procedente la adopción de la misma, sin que ello prejuzgue, en ningún caso, la decisión final que recaiga en el recurso de amparo promovido por la demandante.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las sentencias y resoluciones judiciales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