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820-2001.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15 de febrero de 2001 en el Registro General de este Tribunal, el Asesor Jurídico-Letrado de la Comunidad Foral de Navarra, actuando en representación de esta Administración, interpuso recurso de amparo contra la Sentencia de 10 de enero de 2001, de la Sala de lo Contencioso- Administrativo del Tribunal Superior de Justicia de Navarra, por la que se estima el recurso contencioso-administrativo formulado frente al Acuerdo del Gobierno de Navarra de 3 de agosto de 1998, desestimatorio, a su vez, del recurso ordinario promovido contra la Orden Foral núm. 668/1998, de 9 de febrero, del Consejero de Obras Públicas, Transportes y Comunicaciones,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núm. 668/1998, de 9 de febrero, el Consejero de Obras Públicas, Transportes y Comunicaciones impuso a doña Ana Rodríguez Bermejo,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3 de agosto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señora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la notificación o la certificación que hace y firma el Secretario Técnico. Partiendo de esta constatación, considera el órgano judicial que "la resolución sancionadora es nula de pleno derecho por vulneración del derecho a la tutela judicial (artículo 62.1 a Ley 30/1992, en relación al artículo 24 CE)", en la medida en que no hay constancia del acto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persona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Tercera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Tercera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Tercera de este Tribunal acordó la inadmisión a trámite del recurso de amparo promovido por la Comunidad Foral de Navarra frente a la Sentencia de 10 de enero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el derecho a obtener de los jueces y tribunales una resolución razonable, motivada y fundada en Derecho.</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820-2001.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