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5451-2001.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22 de octubre de 2001 en el Registro General de este Tribunal, el Asesor Jurídico-Letrado de la Comunidad Foral de Navarra, actuando en representación de esta Administración, interpuso recurso de amparo contra la Sentencia de 21 de septiembre de 2001, de la Sala de lo Contencioso- Administrativo del Tribunal Superior de Justicia de Navarra, por la que se estima el recurso contencioso-administrativo formulado frente al Acuerdo del Gobierno de Navarra de 9 de febrero de 1998, desestimatorio, a su vez, del recurso ordinario promovido contra la Orden Foral núm. 2278/1997, de 16 de mayo, del Consejero de Obras Públicas, Transportes y Comunicaciones,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núm. 2278/1997, de 16 de mayo, el Consejero de Obras Públicas, Transportes y Comunicaciones impuso a don Santos Sevilla Alcalde,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9 de febrero de 1998. </w:t>
      </w:r>
    </w:p>
    <w:p w:rsidRPr="00C21FFE" w:rsidR="00AD51A7" w:rsidRDefault="00AD51A7">
      <w:pPr>
        <w:rPr/>
      </w:pPr>
      <w:r w:rsidRPr="&lt;w:rPr xmlns:w=&quot;http://schemas.openxmlformats.org/wordprocessingml/2006/main&quot;&gt;&lt;w:lang w:val=&quot;es-ES_tradnl&quot; /&gt;&lt;/w:rPr&gt;">
        <w:rPr/>
        <w:t xml:space="preserve">c) Frente a estos actos administrativos el citado señor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persona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Cuarta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Cuarta de este Tribunal acordó la inadmisión a trámite del recurso de amparo promovido por la Comunidad Foral de Navarra frente a la Sentencia de 21 de septiembre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queja relativa a la pretendida vulneración del derecho a la tutela judicial efectiva por incurrir, en primer lugar, la motivación de la Sentencia en un error patente, además de ser manifiestamente irrazonable y arbitraria, debe ser inadmitida por falta de legitimación de la Comunidad Foral de Navarra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aquel al que hace referencia la presente queja.</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la queja correspondiente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5451-2001.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