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231</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julio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2711-2006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2711-2006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por don Jaime Allende Vidal-Abarca.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10 de marzo de 2006 don Cesáreo Hidalgo Senén interpuso recurso de amparo en nombre de don Jaime Allende Vidal-Abarca contra la Sentencia 285/2005, de 5 de octubre, del Juzgado de lo Contencioso-Administrativo núm. 1 de Elche, que tuvo por desistido a su representado del recurso contencioso-administrativo núm. 272-2005, con imposición de las costas. El mencionado recurso contencioso-administrativo se dirigía contra una resolución del Teniente de Alcalde delegado del Área de Urbanismo y Medio Ambiente del Ayuntamiento de Elche de 18 de agosto de 2004 que le había impuesto una multa por una infracción urbanística. En la demanda se alega que la resolución judicial impugnada vulneró el derecho del recurrente a la tutela judicial efectiva sin indefensión (art. 24.1 CE). En otrosí se pidió, con fundamento en el art. 56 LOTC, la suspensión de la Sentencia impugnada, pues tanto la misma como los Autos resolutorios de los incidentes de nulidad de actuaciones impusieron las costas al demandante, lo que agravó su situación, ya que tuvo que satisfacer al Ayuntamiento de Elche la multa impuesta, por lo que la suspensión no supondrá perturbación ni perjuicio para dicha Administración.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17 de abril de 2008 la Sección Segunda admitió a trámite el recurso de amparo y ordenó que se formara la presente pieza de suspensión. En otra providencia de la misma fecha se acordó conceder el plazo común de tres días al solicitante de amparo y al Ministerio Fiscal para que dentro del mismo alegaran los que creyeran pertinente en relación con la suspensión cautelar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26 de mayo pasado presentó sus alegaciones el Ministerio Fiscal. Tras hacer referencia a la excepcionalidad de la medida cautelar de suspensión, interesó la denegación de la misma al pedirse respecto de una condena de exclusivo contenido económico de la que no puede derivarse daños irreparables, toda vez que de prosperar el recurso de amparo sería posible su devolución, máxime cuando el obligado a ello en tal hipótesis es una entidad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dejó transcurrir el plazo concedido sin formular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en su redacción anterior a la dispuesta en la Ley Orgánica 6/2007, de 24 de mayo, que es la aplicable en atención a la fecha de interposición del recurso de amparo del que dimana esta pieza separada (ATC 118/2008, de 28 de abril, FJ 1),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salvo que el demandante acredite suficientemente la irreparabilidad que para sus derechos fundamentales pudiera tener la ejecución del fallo, privando al amparo de su finalidad (ATC 188/2001, de 2 de julio, entre otros muchos).</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económico, pues ni se causa un perjuicio irreparable al obligado al pago por la Sentencia condenatoria, ni hace perder al amparo su finalidad (ATC 66/2008, de 25 de febrero, entre otros muchos), salvo que se acredite específicamente que se trate de cantidades que, por su importancia cuantitativa, puedan causar al actor graves quebrantos o perjuicios irreparables en el supuesto de un eventual otorgamiento del amparo (ATC 365/2004, de 4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único perjuicio derivado de la ejecución de la Sentencia impugnada y de los Autos a que se hace referencia en la demanda es el de tener que satisfacer el importe de las costas, a cuyo pago ha sido condenado el demandante de amparo. Es, en consecuencia, ese pronunciamiento de condena el único cuya suspensión cabría plantearse, pues respecto del mantenimiento de la eficacia del pronunciamiento principal de la Sentencia impugnada, no alega el demandante, a quien incumbe la carga de hacerlo, perjuicio alguno que suponga el riesgo de pérdida de la finalidad del recurso de amparo: al no levantarse la mencionada carga, en lo que se refiere al pronunciamiento de tenerle por desistido del recurso contencioso-administrativo, se impide a este Tribunal efectuar la ponderación prevista en el art. 56 LOTC, por lo que resulta obligada la denegación de la medida cautelar solicitada (ATC 150/2005, de 18 de abril) en ese punto.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imposición de las costas, la aplicación de la doctrina antes reseñada sobre la suspensión de la ejecución de las condenas de contenido económico nos lleva a denegar la medida cautelar interesada por el recurrente. La ejecución de la condena al pago de las costas procesales no le ocasionaría ningún perjuicio irreparable, al ser posible la restitución íntegra de lo que eventualmente se pague en caso de estimarse el amparo, sin que se haya acreditado la irreparabilidad del perjuicio derivado de su ejecución ni pueda deducirse que sin la suspensión perderá el recurso su finalidad.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por don Jaime Allende Vidal-Abarca.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julio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