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4971-2004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julio de 2004, la Procuradora de los Tribunales doña Alicia Martín Yáñez, en nombre y representación de don Antonio Pintor López, interpuso recurso de amparo contra la Sentencia de 9 de junio de 2001 de la Sección Segunda de la Audiencia Provincial de Almería, rollo núm. 207-2003 del procedimiento abreviado núm. 425-2003 procedente del Juzgado de lo Penal núm. 1 de Almería que le condenó como autor de tres delitos de calumnias a una única pena de nueve meses de multa a razón de 6 € al día, pago de costas e indemnización de 4.000 €, más los intereses legales, a cada una de los tres afectados. Por otrosí, en la misma demanda de amparo se solicitó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25 de noviembre de 2008, la Sala Segunda del Tribunal Constitucional acordó admitir a trámite la demanda de conformidad con lo previsto en el art. 50.1 de la Ley Orgánica del Tribunal Constitucional, redactado por la Ley Orgánica 6/2007, de 24 de mayo, y formar la correspondiente pieza separada de suspensión de conformidad con lo solicitado por el demandante; y, de conformidad con lo prevenido en el art. 56 de la Ley Orgánica del Tribunal Constitucional, conceder un plazo común de tres días a la parte recurrente y al Ministerio Fiscal para que, dentro de dicho término, alegaran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trámite de alegaciones mediante escrito registrado en este Tribunal con fecha de 20 de noviembre de 2008 en el que interesó la denegación de la solicitud de suspensión formalizada por la parte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por su parte, presentó escrito en relación con el señalado trámite el día 4 de diciembre de 2008. En el mismo se indica que el Juzgado de lo Penal no esperó a la resolución del Tribunal Constitucional y procedió en su día a ejecutar la Sentencia, por lo que solicita que se declare nula la ejecución de la Sentencia y se retrotraigan las actuaciones, en cuanto a la ejecución de la Sentencia, al momento en que el Sr. Pintor López efectuó el ingreso en la cuenta de depósitos del Juzgado la suma de 13.750 € y se ordene la devolución de dicho importe así como de los intereses legales.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En este orden de cosas,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este doctrina constitucional al presente asunto determina la denegación de la suspensión de la ejecución solicitada, pues, aparte de que el recurrente nada ha razonado y, menos aún, acreditado en su lacónica petición de suspensión, se trata de pronunciamientos de condena de efectos meramente patrimoniales que, por su contenido económico, admiten la restitución íntegra de lo ejecutado y, por tanto, no causan perjuicios de imposible reparación ni, por lo mismo, hacen perder al recurso de amparo su finalidad (AATC 40/2008, de 11 de febrero, 66/2008, de 25 de febrero, 174/2008, de 23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