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julio de 2004, la Procuradora de los Tribunales doña Alicia Martín Yáñez, en nombre y representación de don Antonio Pintor López, interpuso recurso de amparo contra la Sentencia de 9 de junio de 2001 de la Sección Segunda de la Audiencia Provincial de Almería, rollo núm. 207-2003 del procedimiento abreviado núm. 425-2003 procedente del Juzgado de lo Penal núm. 1 de Almería que le condenó como autor de tres delitos de calumnias a una única pena de nueve meses de multa a razón de 6 € al día, pago de costas e indemnización de 4.000 €, más los intereses legales, a cada una de los tres afectados. Por otrosí, en la misma demanda de amparo se solicitó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25 de noviembre de 2008, la Sala Segunda del Tribunal Constitucional acordó admitir a trámite la demanda de conformidad con lo previsto en el art. 50.1 de la Ley Orgánica del Tribunal Constitucional, redactado por la Ley Orgánica 6/2007, de 24 de mayo, y formar la correspondiente pieza separada de suspensión de conformidad con lo solicitado por el demandante; y, de conformidad con lo prevenido en el art. 56 de la Ley Orgánica del Tribunal Constitucional, conceder un plazo común de tres días a la parte recurrente y al Ministerio Fiscal para que, dentro de dicho término, alegaran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evacuó trámite de alegaciones mediante escrito registrado en este Tribunal con fecha de 20 de noviembre de 2008 en el que interesó la denegación de la solicitud de suspensión formalizada por la parte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su parte, presentó escrito en relación con el señalado trámite el día 4 de diciembre de 2008. En el mismo se indica que el Juzgado de lo Penal no esperó a la resolución del Tribunal Constitucional y procedió en su día a ejecutar la Sentencia, por lo que solicita que se declare nula la ejecución de la Sentencia y se retrotraigan las actuaciones, en cuanto a la ejecución de la Sentencia, al momento en que el Sr. Pintor López efectuó el ingreso en la cuenta de depósitos del Juzgado la suma de 13.750 € y se ordene la devolución de dicho importe así como de los intereses legales.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la interpretación del art. 56.1 LOTC, en gran parte similar en su redacción al art. 56.2 LOTC resultado de la reciente reforma de la Ley Orgánica 6/2007, este Tribunal ha venido entendiendo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Consecuentemente, “la regla general debe ser la improcedencia de la suspensión, que se configura así como una medida provisional de carácter excepcional y de aplicación restrictiva”, pertinente sólo cuando la ejecución del fallo cause al solicitante de amparo un perjuicio irreparable en los derechos fundamentales invocados en el proceso constitucional. Por perjuicio irreparable hemos entendido aquel que provoque que el restablecimiento del recurrente en el derecho constitucional vulnerado sea tardío e impida su efectiva restauración (por todos, ATC 4/2006, de 16 de enero, FJ 1).</w:t>
      </w:r>
    </w:p>
    <w:p w:rsidRPr="00C21FFE" w:rsidR="00AD51A7" w:rsidRDefault="00AD51A7">
      <w:pPr>
        <w:rPr/>
      </w:pPr>
      <w:r w:rsidRPr="&lt;w:rPr xmlns:w=&quot;http://schemas.openxmlformats.org/wordprocessingml/2006/main&quot;&gt;&lt;w:lang w:val=&quot;es-ES_tradnl&quot; /&gt;&lt;/w:rPr&gt;">
        <w:rPr/>
        <w:t xml:space="preserve">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este doctrina constitucional al presente asunto determina la denegación de la suspensión de la ejecución solicitada, pues, aparte de que el recurrente nada ha razonado y, menos aún, acreditado en su lacónica petición de suspensión, se trata de pronunciamientos de condena de efectos meramente patrimoniales que, por su contenido económico, admiten la restitución íntegra de lo ejecutado y, por tanto, no causan perjuicios de imposible reparación ni, por lo mismo, hacen perder al recurso de amparo su finalidad (AATC 40/2008, de 11 de febrero, 66/2008, de 25 de febrero, 174/2008, de 23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