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7386-2006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7386-2006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impugnada en el presente recurso de amparo en lo referente a la pena privativa de libertad.</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12 de julio de 2006 la procuradora de los Tribunales doña Marina Quintero Sánchez, en representación de don Francisco José Vázquez Bargues, dedujo recurso de amparo frente a la Sentencia de la Sección Tercera de la Audiencia Provincial de Valencia de 6 de mayo de 2005 (rollo 11-1999) que condenó al demandante como autor de un delito contra la salud pública a la pena de cuatro años y cinco meses de prisión, multa e inhabilitación especial, así como contra el Auto de la Sala Segunda del Tribunal Supremo de 11 de mayo de 2006 por el que se inadmitió el recurso de casación deducido contra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demanda de amparo por providencia de 28 de octubre de 2008, el demandante, mediante escrito presentado en el Registro General de este Tribunal el 4 de diciembre de 2008, formuló solicitud de suspensión de la Sentencia impugnada en cuanto a la ejecución de la pena de prisión que le fue impuesta. A tal efecto ponía de manifiesto que, al tiempo de formularse el escrito, el demandante llevaba en prisión tres meses y había permanecido en prisión provisional otros tres, de modo que la eventual estimación de la demanda de amparo no alcanzaría eficacia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5 de diciembre de 2008 la Sala acordó formar pieza separada para la tramitación de la solicitud de suspensión, así como conceder al demandante y al Ministerio público un plazo de tres días para que alegaran lo que estimasen conveniente en relación con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presentó alegaciones mediante escrito registrado el 18 de diciembre de 2008, en el cual daba por reproducida la argumentación ya vertida en el escrito de solicitud de suspensión. </w:t>
      </w:r>
    </w:p>
    <w:p w:rsidRPr="00C21FFE" w:rsidR="00AD51A7" w:rsidRDefault="00AD51A7">
      <w:pPr>
        <w:rPr/>
      </w:pPr>
      <w:r w:rsidRPr="&lt;w:rPr xmlns:w=&quot;http://schemas.openxmlformats.org/wordprocessingml/2006/main&quot;&gt;&lt;w:lang w:val=&quot;es-ES_tradnl&quot; /&gt;&lt;/w:rPr&gt;">
        <w:rPr/>
        <w:t xml:space="preserve">El Fiscal formuló alegaciones mediante escrito presentado el 19 de diciembre de 2008, en el cual, tras recoger los antecedentes necesarios para la resolución de esta pieza separada y la doctrina constitucional en torno a la suspensión de las resoluciones judiciales que incorporan condenas a penas de prisión, interesa la suspensión de la ejecución de la Sentencia en atención a que la pena de prisión impuesta no supera los cinco años.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texto anteriormente reproducido; introducido en la LOTC en virtud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Tal como recordábamos en el ATC 286/2008, de 22 de septiembre de 2008, “cuando de la suspensión de la ejecución de condenas penales se trata la evaluación de la gravedad de la perturbación que para el interés general tiene la suspensión de la ejecución de una pena constituye un juicio complejo dependiente de diversos factores,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del Código penal: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total de la misma, que es de cuatro años y cinco meses de prisión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  Por otro lado, atendidas las demás circunstancias concurrentes en el caso, y en especial que la pena impuesta es de corta duración, no se aprecia que acceder a la suspensión solicitada ocasione una lesión específica y grave del interés general, más allá de aquélla que de por sí produce la no ejecución inmediata de un fallo judicial (AATC 106/2002, de 17 de junio, FJ 2 y 164/2002, FJ 2).</w:t>
      </w:r>
    </w:p>
    <w:p w:rsidRPr="00C21FFE" w:rsidR="00AD51A7" w:rsidRDefault="00AD51A7">
      <w:pPr>
        <w:rPr/>
      </w:pPr>
      <w:r w:rsidRPr="&lt;w:rPr xmlns:w=&quot;http://schemas.openxmlformats.org/wordprocessingml/2006/main&quot;&gt;&lt;w:lang w:val=&quot;es-ES_tradnl&quot; /&gt;&lt;/w:rPr&gt;">
        <w:rPr/>
        <w:t xml:space="preserve">Por lo que se refiere al resto de los pronunciamientos de la Sentencia —pena de multa y costas procesales—, dado su contenido patrimonial, los perjuicios anejos a su ejecución son perfectamente reparables en caso de estimarse el amparo, por lo cual, de conformidad con el criterio de este Tribunal (ATC 469/2007, de 17 de diciembre) no procede acceder a la suspensión respecto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impugnada en el presente recurso de amparo en lo referente a la pena privativa de libertad.</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