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mayo de 2009, el Procurador de los Tribunales don Manuel Caloto Carpintero, en nombre y representación de Hostaler I, S.L., (sucesora de la mercantil Faustino Rivero Ulecia, S.A.), presentó en el Registro General de este Tribunal demanda de amparo contra Sentencia de 18 de marzo de 2008, de la Sección Séptima de la Sala de lo Contencioso-Administrativo del Tribunal Supremo, recaída en recurso de casación núm. 656-2006, contra la Sentencia de 21 de noviembre de 2005, de la Sección Séptima de la Sala de lo Contencioso-Administrativo de la Audiencia Nacional, en el recurso contencioso- administrativo núm. 812-2003, contra la Resolución de 11 de septiembre de 2003 del Tribunal Económico- Administrativo Central desestimatoria del recurso de alzada promovido contra la resolución de 30 de diciembre de 2002 del Tribunal Económico-Administrativo Regional de La Rioja, en relación con la providencia de apremio emitida el 13 de junio de 2002 por la dependencia regional de recaudación de la delegación especial de la Agencia Estatal de Administración Tributaria de La Rioja.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alega en su demanda de amparo que la Sentencia impugnada vulneró su derecho a la tutela judicial efectiva sin indefensión (art. 24.1 CE) porque anuló la providencia de apremio y no las sanciones de que traía causa, lo que permite a la Administración iniciar un nuevo procedimiento de apremio para intentar recaudar el pago de unas sanciones tipificadas en disposiciones nulas y contrarias al art. 25.1 CE. Pero, además, aduce la lesión de su derecho fundamental a la igualdad en aplicación de la Ley (art. 14 CE), supuestamente producida por la Sentencia impugnada al apartarse de la doctrina constitucional de las SSTC 50/2003, de 17 de marzo; 52/2003, de 17 de marzo, y 132/2003, de 30 de junio. </w:t>
      </w:r>
    </w:p>
    <w:p w:rsidRPr="00C21FFE" w:rsidR="00AD51A7" w:rsidRDefault="00AD51A7">
      <w:pPr>
        <w:rPr/>
      </w:pPr>
      <w:r w:rsidRPr="&lt;w:rPr xmlns:w=&quot;http://schemas.openxmlformats.org/wordprocessingml/2006/main&quot;&gt;&lt;w:lang w:val=&quot;es-ES_tradnl&quot; /&gt;&lt;/w:rPr&gt;">
        <w:rPr/>
        <w:t xml:space="preserve">Asimismo, aduce la recurrente que la Sentencia impugnada habría lesionado el principio de legalidad en materia sancionadora (art. 25.1 CE), al limitarse a anular la providencia de apremio y no las resoluciones sancionadoras que se basan en la tipificación que realizan normas nulas y que, por tanto, infringen el principio de legalidad. </w:t>
      </w:r>
    </w:p>
    <w:p w:rsidRPr="00C21FFE" w:rsidR="00AD51A7" w:rsidRDefault="00AD51A7">
      <w:pPr>
        <w:rPr/>
      </w:pPr>
      <w:r w:rsidRPr="&lt;w:rPr xmlns:w=&quot;http://schemas.openxmlformats.org/wordprocessingml/2006/main&quot;&gt;&lt;w:lang w:val=&quot;es-ES_tradnl&quot; /&gt;&lt;/w:rPr&gt;">
        <w:rPr/>
        <w:t xml:space="preserve">Por otrosí, la recurrente solicitó la suspensión de la Sentencia impugnada en amparo porque la ejecución de la misma supondría un perjuicio de imposible o difícil reparación que haría perder al amparo su finalidad, de acuerdo con lo dispuesto en el art. 56.2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22 de diciembre de 2010 la Sala Segunda de este Tribunal acordó admitir a trámite la demanda de amparo y ordenar que se formase la presente pieza separada de suspensión, concediendo a la demandante de amparo y al Ministerio Fiscal, conforme a lo dispuesto en el art. 56 LOTC,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diciembre de 2010 se registró en este Tribunal el escrito de alegaciones de la recurrente, en el que reitera su solicitud de suspensión de la Sentencia impugnada y se remite a las alegaciones formuladas en la demanda de amparo. En ellas la parte alegó que la Sentencia de 18 de marzo de 2009 del Tribunal Supremo impugnada posibilita que la Administración inicié un nuevo procedimiento de apremio para recaudar el pago de la multa impuesta en su día por el Consejo de Ministros. Dado el elevado importe de la misma, que asciende actualmente a 3.812.922,50 euros, incluidos el principal y el recargo de apremio, su pago conduciría a la extinción de la mercantil Hostaler I, S.L., lo que sin duda haría perder al amparo solicitado su finalidad. En la demanda de amparo se aduce literalmente que: </w:t>
      </w:r>
    </w:p>
    <w:p w:rsidRPr="00C21FFE" w:rsidR="00AD51A7" w:rsidRDefault="00AD51A7">
      <w:pPr>
        <w:rPr/>
      </w:pPr>
      <w:r w:rsidRPr="&lt;w:rPr xmlns:w=&quot;http://schemas.openxmlformats.org/wordprocessingml/2006/main&quot;&gt;&lt;w:lang w:val=&quot;es-ES_tradnl&quot; /&gt;&lt;/w:rPr&gt;">
        <w:rPr/>
        <w:t xml:space="preserve">“Por pura lógica, lo elevado de la cantidad trae consigo graves consecuencias para mi representada, como la realización de activos, cese parcial de actividad productiva, reducción de ingresos, eliminación de la plantilla y el embargo, así como la consiguiente ejecución en subasta pública de bienes esenciales para el mantenimiento del funcionamiento de su actividad económica. Es más, la crisis económica que se va a desencadenar en la mercantil Hostaler I, S.L., afectará tanto a los trabajadores como a los proveedores de uva de La Rioja Baja, zona donde mi patrocinada realiza la mayor parte de las adquisiciones de uva y en la que concretamente en Arnedo, no existen muchas bodegas de denominación de origen calificada Rioja.” </w:t>
      </w:r>
    </w:p>
    <w:p w:rsidRPr="00C21FFE" w:rsidR="00AD51A7" w:rsidRDefault="00AD51A7">
      <w:pPr>
        <w:rPr/>
      </w:pPr>
      <w:r w:rsidRPr="&lt;w:rPr xmlns:w=&quot;http://schemas.openxmlformats.org/wordprocessingml/2006/main&quot;&gt;&lt;w:lang w:val=&quot;es-ES_tradnl&quot; /&gt;&lt;/w:rPr&gt;">
        <w:rPr/>
        <w:t xml:space="preserve">Las citadas circunstancias aparecen acreditadas, según la demanda de amparo, en el informe de 24 de julio de 2002, relativo a la incidencia patrimonial en Hostaler I, S.L., derivada de la aplicación de la providencia de apremio de 13 de junio de 2002, anexo al escrito de interposición del recurso contencioso- administrativo ante la Audiencia Nacional. </w:t>
      </w:r>
    </w:p>
    <w:p w:rsidRPr="00C21FFE" w:rsidR="00AD51A7" w:rsidRDefault="00AD51A7">
      <w:pPr>
        <w:rPr/>
      </w:pPr>
      <w:r w:rsidRPr="&lt;w:rPr xmlns:w=&quot;http://schemas.openxmlformats.org/wordprocessingml/2006/main&quot;&gt;&lt;w:lang w:val=&quot;es-ES_tradnl&quot; /&gt;&lt;/w:rPr&gt;">
        <w:rPr/>
        <w:t xml:space="preserve">Además, a esto hay que añadir no sólo el fumus bonis iuris de la pretensión que sustenta el recurso de amparo, sino también que la suspensión solicitada no ocasionaría ningún perjuicio para los intereses generales o de los derechos fundamentales o libertades públicas de un tercero. Respecto de lo primero, el fumus bonis iuris de la pretensión se deduce, según la demanda de amparo, porque la Sentencia impugnada consideró que los arts. 51.1.6 del Reglamento de la denominación de origen calificada Rioja y 129 de la Ley 25/1970 y 129.2 del Decreto 835/1972, otorgaban cobertura legal a la sanción impuesta, en contra de la doctrina del Tribunal Constitucional. </w:t>
      </w:r>
    </w:p>
    <w:p w:rsidRPr="00C21FFE" w:rsidR="00AD51A7" w:rsidRDefault="00AD51A7">
      <w:pPr>
        <w:rPr/>
      </w:pPr>
      <w:r w:rsidRPr="&lt;w:rPr xmlns:w=&quot;http://schemas.openxmlformats.org/wordprocessingml/2006/main&quot;&gt;&lt;w:lang w:val=&quot;es-ES_tradnl&quot; /&gt;&lt;/w:rPr&gt;">
        <w:rPr/>
        <w:t xml:space="preserve">Respecto de la no afectación de intereses públicos o de terceros, en la demanda de amparo se alega que la Administración siempre podría hacer efectivo el pago de la multa, dada la previa constitución de hipoteca mobiliaria e inmobiliaria que hizo la recurrente en escritura pública el 19 de mayo de 2005, con el fin de garantizar la suspensión de la Resolución del Tribunal Económico-Administrativo Central de 11 de septiembre de 2003 y de la providencia de apremio de 13 de junio de 2002, acordada por Auto de 16 de enero de 2004 de la Audiencia Nacional,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presentado el 14 de enero de 2011, interesando que se deniegue la suspensión solicitada. Recuerda el Ministerio público la doctrina constitucional sobre la suspensión como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(ATC 144/2010, de 18 de diciembre). Una doctrina que determina que, en principio, no proceda la suspensión de las resoluciones judiciales por la perturbación de la función jurisdiccional que la misma supone, salvo que el recurrente acredite suficientemente la irreparabilidad que para sus derechos fundamentales pudiese tener la ejecución, entendiendo por tal que “la eventual estimación del recurso de amparo sería ya 'tardía' y el restablecimiento en el derecho constitucional vulnerado ya no podría ser efectivo sino 'meramente ilusorio y nominal'” (ATC 144/2010, de 18 de diciembre, entre otros), y siempre y cuando “no ocasione perturbación grave a un interés constitucionalmente protegido, ni a los derechos fundamentales o libertades de otra persona” (art. 56.2 LOTC). </w:t>
      </w:r>
    </w:p>
    <w:p w:rsidRPr="00C21FFE" w:rsidR="00AD51A7" w:rsidRDefault="00AD51A7">
      <w:pPr>
        <w:rPr/>
      </w:pPr>
      <w:r w:rsidRPr="&lt;w:rPr xmlns:w=&quot;http://schemas.openxmlformats.org/wordprocessingml/2006/main&quot;&gt;&lt;w:lang w:val=&quot;es-ES_tradnl&quot; /&gt;&lt;/w:rPr&gt;">
        <w:rPr/>
        <w:t xml:space="preserve">Además, alega el Ministerio Fiscal que si bien conforme a la doctrina general no se otorga la suspensión de los actos o resoluciones de contenido económico o patrimonial, dado que es posible la reparación de la lesión producida por la ejecución al recurrente, excepcionalmente es posible la suspensión cuando la misma conlleve el cierre de negocios que, por la situación económica de su propietario, pudiera arrastrar su quiebra y la pérdida de empleo de sus trabajadores (AATC 110/1998, de 18 de mayo, y 333/2004, de 13 de septiembre). </w:t>
      </w:r>
    </w:p>
    <w:p w:rsidRPr="00C21FFE" w:rsidR="00AD51A7" w:rsidRDefault="00AD51A7">
      <w:pPr>
        <w:rPr/>
      </w:pPr>
      <w:r w:rsidRPr="&lt;w:rPr xmlns:w=&quot;http://schemas.openxmlformats.org/wordprocessingml/2006/main&quot;&gt;&lt;w:lang w:val=&quot;es-ES_tradnl&quot; /&gt;&lt;/w:rPr&gt;">
        <w:rPr/>
        <w:t xml:space="preserve">La aplicación de la doctrina constitucional expuesta al caso de autos lleva al Ministerio Fiscal a solicitar la no suspensión de la ejecución de la Sentencia impugnada porque, aun cuando la sanción administrativa asciende a casi cuatro millones de euros, la recurrente no cumple debidamente con la carga de acreditar la irreparabilidad del perjuicio que la ejecución de la sanción impuesta produciría. Para el Ministerio público la demandante de amparo se ha limitado en la solicitud de suspensión a alegar la irreparabilidad del perjuicio sobre la base del elevado importe de la multa, que conduciría al cierre de la mercantil con los perjuicios para todos los proveedores que operan en la misma zona. Además, la recurrente invoca un informe de 24 de julio de 2002 que no aporta junto con la demanda de amparo y que, además de no estar disponible, no podría servir de base para entender objetivamente cumplimentada la carga de acreditar el perjuicio irreparable, que debe ser cierto y actual, de una ejecución nueve años después de realizado el informe. </w:t>
      </w:r>
    </w:p>
    <w:p w:rsidRPr="00C21FFE" w:rsidR="00AD51A7" w:rsidRDefault="00AD51A7">
      <w:pPr>
        <w:rPr/>
      </w:pPr>
      <w:r w:rsidRPr="&lt;w:rPr xmlns:w=&quot;http://schemas.openxmlformats.org/wordprocessingml/2006/main&quot;&gt;&lt;w:lang w:val=&quot;es-ES_tradnl&quot; /&gt;&lt;/w:rPr&gt;">
        <w:rPr/>
        <w:t xml:space="preserve">Por último, el Ministerio Fiscal alega que aunque se denegase la suspensión de la ejecución solicitada, la Administración tendría que iniciar un nuevo procedimiento de apremio, por lo que la ejecución de la resolución sancionadora no sería inmediata y, además, de acuerdo con lo dispuesto por el art. 57 LOTC, la recurrente siempre podría volver a plantear la suspensión de la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de la Ley Orgánica del Tribunal Constitucional (LOTC) que cuando la ejecución del acto o Sentencia impugnados produzca un perjuicio al recurrente que pudiese hacer perder al amparo su finalidad, la Sala o, en su caso, la Sección que conozca de un recurso de amparo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287/2007, de 18 de junio, FJ 1; 348/2007, de 23 de julio, FJ 1; 233/2008, 21 de julio, FJ 1; y 204/2010, de 21 de diciembre, FJ 1; ). Hemos venido manteniendo que del art. 56.1 LOTC deriva una regla general, consistente en que la admisión del recurso de amparo no conlleva la suspensión de los actos recurridos. Y ello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los apartados segundo y tercero del art. 56 LOTC, que han de apoyarse en el riesgo o certeza de que la ejecución ocasionará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286/2007, de 18 de junio, FJ 1; 233/2008, de 21 de julio, FJ 1, y 204/2010, de 21 de diciembre, FJ 1).</w:t>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116/2008, de 28 de abril; 25/2009, de 26 de enero; 145/2010, de 18 de octubre; y 199/2010, de 21 de diciembre, FJ 2).</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(citado en el ATC 199/2010, de 21 de diciembre,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 Lo mismo hemos afirmado respecto de la sanción de suspensión temporal de la concesión que ampara la actividad de expendeduría de tabacos en supuestos donde el plazo de suspensión era de quince días (ATC 299/2003, de 29 de septiembre, FJ 3), de treinta días (ATC 402/2004, de 2 de noviembre, FJ 3), de setenta y cinco días (ATC 250/2001, de 17 de septiembre, FJ 3) o de cuatro meses (ATC 187/2005, de 9 de mayo, FJ 3). Ello por considerar que el cese temporal en un negocio, afectaría a elementos inmateriales del mismo, como el mantenimiento de la clientela y la buena fama del establecimiento, que podrían verse afectados de forma irreparable (ATC 250/2001,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caso que nos ocupa, como acertadamente pone de manifiesto el Ministerio Fiscal en sus alegaciones, la recurrente no acredita la irreparabilidad de los perjuicios económicos que afirman se le ocasionaría con la ejecución de la Sentencia recurrida. En efecto, la recurrente solicita la suspensión por la cuantía elevada de la sanción impuesta, de 3.812.922,50 millones de euros, cuya ejecución conduciría a la extinción de la mercantil con afectación económica de toda la zona de La Rioja Baja y con la consiguiente pérdida de puestos de trabajo. No obstante, la recurrente no aporta ningún documento que sirva de fundamento a sus alegaciones. En la demanda de amparo hace referencia a un informe del año 2002 que, supuestamente aportó ante la Audiencia Nacional pero que, además de ser un informe de hace nueve años y que no podría, por tanto, acreditar un perjuicio irreparable actual, no aporta ni con la demanda de amparo ni en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expuesto no procede, en consecuencia, acceder en este momento a la suspensión interesada, lo que no es óbice para que en un momento posterior durante el curso del juicio de amparo, la recurrente pueda plantear de nuevo ante este Tribunal la procedencia de la suspensión, “en virtud de circunstancias sobrevenidas o que no pudieron ser conocidas al tiempo de sustanciarse el incidente de suspensión” (ex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