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8345-2006, promovido por don Luis María Azkargorta Belategui, representado por el Procurador de los Tribunales don José Javier Cuevas Rivas y asistido por la Abogada doña Ainhoa Baglietto Gabilondo, contra la providencia de 16 de junio de 2006 y el Auto de 11 de julio de 2006 dictados por la Sección Segunda de la Sala de lo Penal de la Audiencia Nacional en la ejecutoria núm. 67-1992.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septiembre de 2006, el Procurador de los Tribunales don José Javier Cuevas Rivas, en nombre y representación de don Luis María Azkargorta Belategui,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Azkargorta Belategui fue condenado por la Sala de lo Penal de la Audiencia Nacional, Sección Segunda, mediante Sentencia de 15 de junio de 1990 (rollo de Sala núm. 33-1990, sumario núm. 42-1984 del Juzgado Central de Instrucción núm. 2), a las penas de veinte años de reclusión menor por un delito de atentado con resultado de muerte, once años de prisión mayor por un delito de asesinato frustrado y seis años de prisión menor por un delito de terrorismo con resultado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fue condenado por la misma Sala y Sección en Sentencia de 12 de marzo de 1992 (rollo de Sala núm. 11-1992, sumario núm. 43-1988 del Juzgado Central de Instrucción núm. 2), a la pena de siete años de prisión mayor por un delito de colaboración con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condenas fueron acumuladas por Auto de la misma Sala y Sección de 7 de octubre de 1996, que refundió dichas condenas y fijó para su cumplimiento total la duración de treinta años de privación de libertad. Dicho Auto alcanzó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Sección Segunda de la Sala de lo Penal de la Audiencia Nacional de 11 de julio de 1996, asimismo firme, se acordó que no procedía conforme al nuevo Código penal de 1995 (CP 1995) revisar las penas impuestas al señor Azkargorta Belategui.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5 de diciembre de 1996 se practicó por el centro penitenciario en el que a la sazón se encontraba interno el señor Azkargorta Belategui liquidación provisional de condena, en la que se incluyen los cálculos de redenciones ordinarias y extraordinarias hasta el 25 de mayo de 1996, fijándose como fecha prevista para el cumplimiento de la condena de treinta años el 29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Azkargorta Belategui permaneció en situación de libertad condicional desde el 7 de enero de 2003 al 26 de noviembre de 2003 en virtud del Auto del Juzgado de Vigilancia Penitenciaria de 23 de diciembre de 2002, que fue revocado por Auto de la Sección Segunda de la Sala de lo Penal de la Audiencia Nacional de 20 de noviembre de 2003, produciéndose su reingreso en prisión el siguiente día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misma Sala y Sección de 4 de febrero de 2004 se ordenó practicar nueva liquidación de condena al señor Azkargorta Belategui, en la que se incluya el periodo antes señalado de libertad condicional como de cumplimiento. Practicada la liquidación de condena, fue aprobada por providencia de la Sección Segunda de la Sala de lo Penal de la Audiencia Nacional de 13 de febrero de 2004, en la que se fija como fecha prevista para el cumplimiento de la condena de treinta años el 1 de mayo de 2017, sin redenciones. No obstante, la Sección ordena nueva liquidación por existir errores en la precedente (error en la fecha de inicio de la prisión preventiva abonable y duplicidad de abono del periodo en el que permaneció en libertad condicional), nueva liquidación que se practica el 16 de marzo de 2004, fijando como fecha prevista para el cumplimiento de la condena de treinta años el 13 de abril de 2018, sin redenciones, siendo aprobada esta liquidación por providencia de 25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abril de 2006 el centro penitenciario de Zuera (Zaragoza) se dirigió a la Sección Segunda de la Sala de lo Penal de la Audiencia Nacional en consulta acerca de si debía aplicarse al señor Azkargorta Belategui el criterio sentado por la Sentencia de la Sala de lo Penal del Tribunal Supremo núm. 197/2006, de 28 de febrero, conforme al cual, en caso de penas acumuladas, la redención de penas por el trabajo obtenida ha de computarse sobre cada una de las penas impuestas y no sobre el límite máximo de cumplimiento que pudiera haberse fijado, en cuyo caso la fecha de cumplimiento sería el 13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junio de 2006 la Sección Segunda de la Sala de lo Penal de la Audiencia Nacional comunicó al centro penitenciario de Zuera que, de conformidad con el criterio establecido por la Sentencia de la Sala de lo Penal del Tribunal Supremo núm. 197/2006, de 28 de febrero, para la liquidación de condena del penado señor Azkargorta Belategui procede aplicar las redenciones (tanto ordinarias como extraordinarias) en cada pena por cada delito, sin perjuicio de los límites establecidos por el art. 70, regla 2, del Código penal de 1973 (en adelante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anterior proveído interpuso recurso de súplica el señor Azkargorta Belategui contra el anterior proveído, en el que, invocando la vulneración de los principios de irretroactividad de las normas penales desfavorables y seguridad jurídica (art. 9.3 CE), del principio de igualdad (art. 14 CE), del derecho a la libertad (art. 17 CE), del derecho a la tutela judicial efectiva en la vertiente de intangibilidad de las resoluciones judiciales firmes (art. 24.1 CE), y del principio de legalidad penal (art. 25.1 CE), y rechazando la aplicación del criterio de la Sentencia de la Sala de lo Penal del Tribunal Supremo núm. 197/2006, de 28 de febrero, interesaba que se fijase como fecha de cumplimiento definitivo de los treinta años de condena el 8 de octubre de 2007. El recurso fue desestimado por Auto de 11 de julio de 2006, en el que se rechaza que la aplicación al caso del criterio sentado por la citada Sentencia haya ocasionado vulneración alguna de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 providencia impugnada la aplicación de la nueva doctrina de la Sala de lo Penal del Tribunal Supremo sentada en la Sentencia núm. 197/2006, de 28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 Entiende además que ello vulnera el principio acusatorio, porque el órgano judicial asume funciones acusatorias constitucionalmente vedadas que comprometen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la vertiente de intangibilidad de las resoluciones judiciales firmes, en relación con el derecho a la libertad (art. 17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intangibles y firmes, aplicadas (como se venía haciendo) al tope de treinta años, suponían un importante acortamiento de su condena. El trabajo y los estudios en la prisión se realizaron por el recurrente en la confianza de que las redenciones así obtenidas implicarían un acortamiento del tiempo de permanencia en prisión, como en el caso de la STC 76/2004, habiéndose generado una expectativa de dicho acortamiento con fundamento en la actuación de los órganos judiciales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28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2007 la Sala Primera de este Tribunal acordó la admisión a trámite de la demanda de amparo y, a tenor de lo dispuesto en el art. 51 de la Ley Orgánica del Tribunal Constitucional (LOTC), requerir atentamente a la Sección Segunda de la Sala de lo Penal de la Audiencia Nacional para que en el plazo de diez días remitiera testimonio de la en la ejecutoria núm. 67-1992,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22 de noviembre de 2007 se tuvo por recibido el testimonio de las actuaciones remitido por la Sección Segunda de la Sala de lo Penal de la Audiencia Nacional, y se procedió, conforme a lo establecido en el art. 52.1 LOTC, a dar vista de las actuaciones por plazo común de veinte días al Ministerio Fiscal y a la representación procesal del recurrente en amparo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26 de diciembre de 2007, en el que viene a ratificarse en las formuladas en la demanda de amparo,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14 de enero de 2008. Comienza el Fiscal resumiendo los motivos de la demanda de amparo numerados como segundo, tercero y sexto, pues, a su juicio, entendidos en su conjunto, dichos motivos constituyen la médula del amparo que se solicita, mientras que los motivos de amparo restantes carecen de fundamento y deben ser rechazados, según el Fiscal,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carece de fundamento la queja del recurrente referida a la infracción del derecho a la tutela judicial efectiva, a la que asocia la de sus derechos de defensa, a ser informado de la acusación, a un proceso público y con todas las garantías y a un juicio justo, todo ello en relación con el derecho a la libertad, porque la Audiencia Nacional no le dio trámite de audiencia antes de dictar la providencia que acordó la aplicación de la nueva doctrina establecida por la Sala de lo Penal del Tribunal Supremo en su Sentencia núm. 197/2006, de 28 de febrero (motivo de amparo primero), pues lo cierto es que el recurrente tuvo la efectiva oportunidad de ser oído al interponer su recurso de suplica contra la providencia de 16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(motivo de amparo cuarto), pues no tiene fundamento alguno sostener que se han vulnerado dichos principios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28 de febrero, y no el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lesión del derecho fundamental a la igualdad en la aplicación de la ley que garantiza el art. 14 CE (motivo de amparo quinto),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debe ser rechazada la pretendida vulneración del art. 25.2 CE (motivo séptimo y último de amparo), entre otras razones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segundo, tercero y sexto de la demanda de amparo, aunque ciertamente el recurrente no exponga la cuestión con la deseable claridad, es la aplicación del nuevo criterio jurisprudencial surgido de la citada Sentencia de la Sala de lo Penal del Tribunal Supremo núm. 197/2006, de 28 de febrero, a situaciones ya reconocidas por resoluciones firmes, en referencia al Auto de 7 de octubre de 1996 de la Sección Segunda de la Sala de lo Penal de la Audiencia Nacional que refundió las condenas impuestas al recurrente y señaló como pena única a cumplir la de treinta años, así como a las liquidaciones de condena que siguieron a ese Auto con aplicación de las redenciones que se iban produciendo (antes de dictarse las resoluciones judiciales impugnadas en amparo), lo que resulta perjudicial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firmeza de las referidas resoluciones impide, a juicio del Fiscal, la revisión de ese criterio en virtud de una jurisprudencia posterior porque ello rompe con las legítimas expectativas del intento y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el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28 de febrero, aplicada por la Audiencia Nacional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la estimación del amparo en lo referente a declarar vulnerado el derecho a la tutela judicial efectiva en su vertiente intangibilidad de las resoluciones judiciales firmes (art. 24.1 CE), en conexión con el derecho a la irretroactividad de interpretaciones desfavorables para el reo (art. 25.1 CE) y el derecho a la libertad personal (art. 17 CE), procediendo desestimar la demanda de amparo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otorgamiento del amparo ha de ser, según el Fiscal, la anulación de la providencia y Auto impugnados, para que se dicte nueva resolución por la Sección Segunda de la Sala de lo Penal de la Audiencia Nacional que resuelva sobre el licenciamiento definitivo del recurrente respetando los derechos fundamentales que han sido vulnerados, lo que comporta que la liquidación de condena y la fecha de licenciamiento definitivo del recurrente debe quedar fijada de conformidad con el criterio interpretativo que en su momento señaló el Auto de 7 de octubre de 1996 y la propuesta de liquidación provisional formulada por el centro penitenciario de Huesca el 5 de diciembre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2011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11 de julio de 2006 de la Sección Segunda de la Sala de lo Penal de la Audiencia Nacional, que desestimó el recurso de súplica presentado contra la anterior providencia de 16 de junio de 2006 por la que se acordó que para la liquidación de condena del recurrente procede aplicar las redenciones (tanto ordinarias como extraordinarias) en cada pena por cada delito, sin perjuicio de los límites establecidos por el art. 70, regla 2, del Código penal (CP) de 1973, de conformidad con el criterio de la Sentencia núm. 197/2006, de 28 de febrero, de la Sala de lo Penal del Tribunal Supremo. Según dicha Sentencia, en caso de penas acumuladas la redención de penas por el trabajo obtenida ha de computarse sobre cada una de las penas impuestas y no sobre el límite máximo de cumplimiento que pudiera haberse fijado. Con ello el Tribunal sentenciador viene a ratificar su decisión precedente de aprobar como fecha de cumplimiento definitivo de la condena impuesta al recurrente el 13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defensa, a ser informado de la acusación y a un proceso con todas las garantías (art. 24.2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del recurso de amparo, por entender que la aplicación del nuevo criterio jurisprudencial fijado en la referida Sentencia núm. 197/2006 de la Sala de lo Penal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reflejado con detalle en los antecedentes, bajo la invocación de los derechos a la tutela judicial efectiva sin indefensión (art. 24.1 CE), a la defensa, a ser informado de la acusación y a un proceso con todas las garantías (art. 24.2 CE), se denuncia por el demandante de amparo, en primer lugar, la supuesta indefensión que le habría producido el hecho de que la primera de las resoluciones recurridas —la providencia de 16 de junio de 2006— se adoptó sin haberle dado audiencia previa, pese a que la propuesta del centro penitenciario en el que se hallaba interno ofrecía una fecha de licenciamiento definitivo más favorable, cuestión esta que afecta decisivamente a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queja tiene base fáctica, pues la secuencia procesal descrita por el demandante fue la seguida por el Tribunal encargado de la ejecución de las penas impuestas; sin embargo ha de ser inadmitida, al concurrir respecto de ella el óbice procesal consistente en la falta de invocación ante los órganos de la jurisdicción ordinaria [art. 44.1 c) de la Ley Orgánica del Tribunal Constitucional]. En efecto, de la mera lectura del recurso de súplica interpuesto contra la providencia dictada en fase de ejecución el 16 de junio de 2006 se desprende que el recurrente articuló una serie de motivos de impugnación para oponerse a esa nueva perspectiva jurídica en el cómputo de las redenciones (lo que, como bien señala el Ministerio Fiscal, excluiría por sí mismo la indefensión alegada), pero no denunció entonces indefensión alguna por el motivo ahora analizado, por lo que esta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presentación de la demanda de amparo ante este Tribunal, ha de darse oportunidad a los órganos judiciales de reparar la vulneración supuestamente cometida a través del planteamiento en el proceso judicial del problema constitucional que es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denuncia el recurrente desde diversas perspectivas constitucionales la cuestión de fondo, esto es, la aplicación a las condenas privativas de libertad que cumple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de amparo, frente al criterio anterior reiteradamente aplicado por los órganos judiciales, conforme al cual los días redimidos se descontaban del límite máximo de cumplimiento una vez operada la refundición o acumulación de condenas, la Sala de lo Penal del Tribunal Supremo, en la Sentencia núm.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y como quedó reflejado en los antecedentes, el recurrente denuncia en los motivos segundo, cuarto, quinto y sexto de su demanda la supuesta vulneración del principio de legalidad penal —desde la doble perspectiva de la ilegitimidad del nuevo criterio interpretativo y la aplicación retroactiva de una ley desfavorable (art. 25.1 CE)— y del principio de igualdad en la aplicación de la ley (art.14 CE),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deben ser rechazadas, dado que el contenido de los derechos alegados no tiene el alcance expresado por el recurrente, conforme seguidamente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caso Grava c. Italia, § 51, en un supuesto referido a la condonación de la pena citando, mutatis mutandis, el caso Hogben c. Reino Unido, núm. 11653/1985, y la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rechazada la queja que se formula como segundo motivo de amparo, en el que se aduce la vulneración del principio de legalidad penal (art. 25.1 CE) por la interpretación realizada por el Tribunal sentenciador en las resoluciones impugnadas de los arts. 70.2 y 100 CP 1973, así como de los arts. 66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la denunciada vulneración (motivo de amparo cuarto) del derecho a la legalidad de las infracciones y sanciones (art. 25.1 CE) por aplicación retroactiva del art. 78 CP 1995 (tanto en su redacción inicial como en la dada al mismo por la Ley Orgánica 7/2003), bajo el ropaje aparente del art. 70.2 CP 1973. En aquel precepto el legislador establece que para determinados supuestos de acumulación de penas el Juez o Tribunal sentenciador “podrá acordar que los beneficios penitenciarios, los permisos de salida, la clasificación en tercer grado y el cómputo de tiempo para la libertad condicional se refieran a la totalidad de las penas impuestas en las sentencias” (art. 78.1 CP 1995), criterio que deviene obligatorio cuando se trata de penas especialmente graves aunque, no obstante, se prevean algunas excepciones que deberá valorar el Juez de vigilancia penitenciaria (art. 78.2 y 3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el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que era posible a la vista del tenor literal de los arts. 70.2 y 100 CP 1973 y del art. 988 de la Ley de enjuiciamiento criminal (LECrim). Por tanto, teniendo en cuenta el razonamiento de los órganos judiciales y los preceptos que se aplican, la queja carece de fundamento,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 como acertadamente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las razones expuestas, que el recurrente no ha sido privado de su libertad personal en supuestos distintos de los establecidos en la ley penal, lo que descarta la alegada vulneración del derecho a la libertad personal (art. 17.1 CE) que se alega en el sexto motivo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cambios de criterio jurisprudencial y su conformidad con la Constitución sí pueden ser cuestionados desde otras perspectivas. Una de ellas, alegada en la demanda de amparo (como quinto motivo), tiene que ver con el contenido del derecho a la igualdad en la aplicación de la ley (art. 14 CE). Sin embargo, tampoco desde esta perspectiva puede apreciarse en el presente caso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las resoluciones impugnadas, dictadas por la Audiencia Nacional, se limitan a aplicar la doctrina sentada por otro órgano judicial, el Tribunal Supremo, máximo intérprete de la ley, justificando razonadamente el cambio de criterio sobre la forma en 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reiterada doctrina (entre otras muchas,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tercer motivo de amparo denuncia el recurrente que la aplicación de la nueva interpretación jurisprudencial que cuestiona (la establecida en la citada Sentencia de la Sala de lo Penal del Tribunal Supremo núm. 197/2006, de 28 de febrero), sobre la forma de cómputo de la redención de penas por el trabajo, le genera una situación de indefensión e inseguridad jurídica que vulnera su derecho a la tutela judicial efectiva, en cuanto garantiza la intangibilidad de las resoluciones judiciales firmes (art. 24.1 CE), y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referencia exacta a ninguna resolución judicial concreta anterior, aduce que la doctrina jurisprudencial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 de suerte que el cumplimiento definitivo de su condena debería tener lugar el 8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recurrente por considerar que no es de recibo que, establecidos en resolución judicial firme unos criterios de interpretación normativa para fijar la refundición de condena, puedan variarse tales criterios en virtud de una posterior resolución, en este caso de la Sala de lo Penal del Tribunal Supremo, que interpreta de otra manera las normas aplicables, como lo hacen las resoluciones judiciales ahora recurridas en amparo, rompiendo las legítimas expectativas del interno y lesionando así su derecho a la intangibilidad de las resoluciones judiciales firmes (art. 24.1 CE). La resolución judicial firme en la que considera el Fiscal que dichos criterios quedaron establecidos de forma intangible sería el Auto de 7 de octubre de 1996 que procedió a refundir las condenas impuestas al recurrente en amparo, fijando en treinta años el límite máximo de cumplimiento; resolución judicial a la que han seguido las liquidaciones de condena que aplicaban las redenciones que se iban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117.3 CE, corresponden en exclusiva a los órganos judiciales (por todas,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citadas SSTC 219/2000, FJ 5; 151/2001, FJ 3; 163/2003, FJ 4; 15/2006, FJ 4; 231/2006, FJ 2; y 62/2010, FJ 4. En tal sentido hemos afirmado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doctrina citada, la intangibilidad de lo decidido en una resolución judicial firme no afecta sólo al contenido del fallo, sino que también se proyecta sobre aquellos pronunciamientos que constituyen ratio decidendi de la resolución, aunque no se trasladen al fallo (STC 15/2006, FJ 6) o sobre los que, aun no constituyendo el objeto mismo del proceso, resultan determinantes para la decisión adoptada (STC 62/2010,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recurrente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 las resoluciones judiciales dictadas por el Tribunal sentenciador en el proceso de ejecución de las penas privativas de libertad impuestas al recurrente muestra que, antes de dictar las resoluciones judiciales impugnadas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recurrente y el Ministerio Fiscal, y hemos recogido en los antecedentes de esta resolución, una vez examinadas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Azkargorta Belategui fue condenado en junio de 1990 a las penas de veinte años de reclusión menor, once años de prisión mayor y seis años de prisión menor, tras ser considerado autor un delito de atentado con resultado de muerte, de un delito de asesinato frustrado y de un delito de terrorismo con resultado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también había sido condenado por la misma Sala y Sección de la Audiencia Nacional en otro proceso a pena de siete años de prisión mayor por delito de colaboración con banda armada, por hechos que pudieron ser objeto de uno sólo, el Tribunal sentenciador, por Auto de 7 de octubre de 1996, procedió a fijar en treinta años el límite máximo de cumplimiento de todas las condenas, de conformidad con lo dispuesto en los arts. 17.5 y 988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atañe al Auto de 11 de julio de 1996, ha de señalarse que este acordó no haber lugar a la revisión de las penas impuestas al demandante por considerar que, dados los hechos enjuiciados y las penas que le habían sido impuestas, no eran más favorables las previsiones punitivas del Código penal de 1995, y lo que ahora se destaca es que esa resolución se dictó con anterioridad a que se acordara la acumulación de condenas impuestas al demandante de amparo, de manera que el órgano judicial no pudo fijar un criterio sobre la forma de cómputo de redenciones en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del Tribunal sentenciador de 4 de febrero de 2004 se ordenó practicar liquidación de condena al señor Azkargorta Belategui, en la que se incluyese como de cumplimiento el periodo en el que se encontró en el año 2003 en libertad condicional. Practicada la liquidación de condena, fue aprobada por providencia de 25 de marzo de 2004, fijando como fecha prevista para el cumplimiento de la condena de treinta años el 13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hay ninguna otra resolución judicial relevante del Tribunal sentenciador en la ejecutoria hasta que, mediante la providencia de 16 de junio de 2006 que se recurre en amparo, el Tribunal, en respuesta a la consulta sobre cumplimiento definitivo de condena del recurrente realizada por el centro penitenciario en el que se encontraba en ese momento interno, determinó que resulta de aplicación el criterio de la Sentencia núm. 197/2006, de 28 de febrero, de la Sala de lo Penal del Tribunal Supremo. Lo que determina que la fecha de cumplimiento y excarcelación es el 13 de abril de 2018 (treinta años después de ingresar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en los Autos del Juzgado de Vigilancia Penitenciaria. La providencia que fijó la fecha de licenciamiento definitivo (y el Auto que la ratificó) no dejó sin efecto dichas redenciones, sino que, en ejercicio de las competencias que legalmente tiene atribuidas el Tribunal sentenciador, las computó sucesivamente sobre las penas impuestas al recurrente a efectos de liquidación de condena. El efecto práctico, como ya se ha dicho, es que las penas que sumaban un total de cuarenta y cuatro años de privación de libertad, a las que se había fijado un límite máximo de cumplimiento de treinta años, han sido dadas por extinguidas a los treinta años de ingresar el penado en prisión por estas causas (en abril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7 de octubre de 1996 de acumulación de condenas y fijación del límite máximo de cumplimiento, que cita el Ministerio Fiscal como resolución firme e intangible que ha sido ilegítimamente desconocida, se limita a hacer efectiva la previsión legal (art. 988 LECrim y art.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Auto de 11 de julio de 1996 por el que se acordó no haber lugar a la revisión de las penas impuestas (anterior, por tanto, al Auto de acumulación de condenas) por considerar que, dados los hechos enjuiciados y las penas que le habían sido impuestas, no eran más favorables las previsiones punitivas del Código penal de 1995, es claro que ni en el fallo de esta resolución se realiza pronunciamiento alguno acerca del criterio de cómputo de las redenciones (porque no era éste su objeto), ni de su fundamentación jurídica puede concluirse que la decisión de no revisar las condenas se sustentara en un determinado criterio de cómputo de las redenciones que resulte determinante o decisivo para considerar o no más favorable el Código penal de 1973. No podía ser de otra forma, pues la comparación de las penas impuestas al recurrente con las previstas en el Código penal de 1995 evidencia que la ratio de la decisión de no revisar las penas impuestas no fue otra que la constatación de que el nuevo Código penal no rebajó en ningún caso las penas previstas para los delitos de terrorismo sino, si cabe, las endureció respecto a la regulación penal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planteada en el último motivo de la demanda de amparo, según la cual el nuevo criterio de cómputo de las redenciones que le ha sido aplicado al recurrente deja sin efecto práctico las redenciones y la libertad condicional, lo cual vulneraría el art. 25.2 CE en cuanto prevé que las penas privativas de libertad y las medidas de seguridad estarán orientadas hacia la reeducación y reinserción social, de suerte que las resoluciones judiciales impugnadas niegan “el carácter incentivador y reinsertador de las redenciones al no tener ninguna plasmación como beneficio penitenciario en el acortamiento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recurrente alegar tal efecto en su caso, pues la simple lectura de las actuaciones pone de relieve que las penas que le fueron impuestas sumaban en total cuarenta y cuatro años de privación de libertad y su licenciamiento definitivo ha sido fijado para una fecha en la que llevará extinguidos treinta años de privación efectiva de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María Azkargorta Belategui.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8345-2006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