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7468-2009, promovido por doña Itziar Martínez Sustatxa, representada por el Procurador de los Tribunales don José Javier Cuevas Rivas y asistido por el Letrado don Kepa Manzisidor Txirapozu, contra el Auto de la Sección Tercera de la Sala de lo Penal de la Audiencia Nacional, de 27 de abril de 2009, que desestima el recurso de súplica interpuesto contra la providencia de 7 de abril de 2009, y establece una nueva liquidación de condena, y contra la providencia de 23 de junio de 2009 por la que se acuerda no haber lugar a admitir el incidente de nulidad frente al Auto antes citado.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septiembre de 2009, don José Javier Cuevas Rivas, Procurador de los Tribunales, y de doña Itziar Martínez Sustatxa,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fue condenada a varias penas en diversos procedimientos cuya suma superaba los treinta años de condena. Consta en las actuaciones Sentencia de 18 de diciembre de 1995 de la Sección Tercera de la Sala de lo Penal de la Audiencia Nacional por la que se condena a la recurrente como autora de un delito de pertenencia a banda armada tipificado en el art. 174.3 del Código penal (CP) a las penas de ocho años de prisión mayor; como autora de un delito de depósito de armas de guerra del art. 257 y 258 del Código penal a la pena de nueve años de prisión mayor, y como autora de un delito de tenencia de explosivos, como art. 264 del Código penal a la pena de nueve años de prisión mayor. También se incluye en las actuaciones que obran en autos la Sentencia de 28 de julio de 1994 de la Sección Primera de la Sala de lo Penal de la Audiencia Nacional por la que se condena a la recurrente en concepto de un delito de atentado con las agravantes de premeditación y alevosía a la pena de veintinueve años de reclusión mayor, y de un delito de estragos con el agravante de estar relacionado con la actividad de banda terrorista a la pena de diez años y un día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70.2 CP 1973 se impuso el límite de treinta años de cumplimiento, es decir, 10.950 días. Por escrito de 4 de marzo de 2009, recibido en la Sección Tercera de la Sala de lo Penal de la Audiencia Nacional, el centro penitenciario de Dueñas (Palencia) efectuó propuesta de licenciamiento definitivo de la penada para el día 4 de junio de 2009. A la vista de la propuesta y del informe favorable del Ministerio Fiscal la Sección Tercera de la Sala de lo Penal de la Audiencia Nacional dictó providencia de fecha 23 de marzo de 2009 aprobando el licenciamiento definitivo de la penada para el día 4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Tercera de la Sala de lo Penal de la Audiencia Nacional mediante providencia de fecha 7 de abril de 2009 requirió al centro penitenciario a fin de que presentara nueva propuesta de licenciamiento definitivo conforme a la doctrina de la Sala Segunda del Tribunal Supremo en Sentencia 197/2006, de 28 de febrero. Con fecha de 13 de abril de 2009 se interpuso por la recurrente recurso de súplica contra dicha resolución, interesando que se revocara la misma y solicitando la aprobación de su licenciamiento para el 4 de junio de 2009, tal y como se había acordado de forma definitiva mediante providencia de 23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resolvió mediante Auto de 27 de abril de 2009, desestimando el recurso de súplica y manteniendo la resolución de 7 de marzo de 2009. Dicho Auto señala en sus fundamentos jurídicos que la aprobación de la nueva fecha de licenciamiento —25 de agosto de 2021— es el resultado de la aplicación de la STS 197/2006, en la que establece que, en lo referente a los supuestos de acumulación de condena, la redención no puede aplicarse sobre el límite de treinta años de las condenas acumuladas, sino sobre todas y cada una de las condenas impuestas, empezando por la más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de 27 de abril de 2009 se interpuso incidente de nulidad solicitando la nulidad de las resoluciones posteriores a la providencia de 23 de marzo de 2009 al modificar al margen de lo contemplado por la ley y la jurisprudencia una resolución judicial firme. La Sección Tercera de la Sala de lo Penal de la Audiencia Nacional acordó en providencia de 23 de junio de 2009 no admitir dicho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aduce la lesión del derecho a la tutela judicial efectiva (art. 24.1 CE) y a un proceso con todas las garantías (art. 24.2 CE), en su vertiente de derecho de defensa y a la contradicción, en relación con el principio acusatorio, así como del derecho a un recurso efectivo (art. 14.5 del Pacto internacional de derechos civiles y políticos: PIDCP), todo ello en relación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motivo, con cita de las SSTC 11/1987, de 30 de enero, y 123/2005, de 12 de mayo (que sostienen que el principio de audiencia y la igualdad de partes han de respetarse también en la ejecución de la pena), se denuncia que la Audiencia Nacional dictó el Auto de 27 de abril de 2009 que introduce una perspectiva jurídica novedosa en cuanto al cómputo de las redenciones por trabajo, que empeora la situación del reo, pues demora su salida de prisión hasta el año 2021, y respecto de la que la recurrente no pudo defenderse y someterla a contradicción. Esto supone, a juicio de la recurrente, una vulneración del art. 24.1 que consagra el derecho a la defensa, derecho a un proceso público con todas las garantías y derecho a la contradicción así como a un Tribunal imparcial. Dentro de este motivo alega, la vulneración del derecho a la defensa, art. 24.1 CE a un proceso con las debidas garantías, art. 24.2 CE, en relación con los arts. 13 del Convenio europeo para la protección de los derechos humanos y de las libertades fundamentales (CEDH) y 14.5 PIDCP,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refiere al principio de legalidad (art. 25.1 y 2 CE), en relación con la interpretación de los arts. 70.2 y 100 CP 1973, así como del art. 66 del reglamento de prisiones de 1956 y del art. 202 del reglamento penitenciario actual. Se denuncia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1973,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destaca que la Administración penitenciaria, con la aprobación de los Jueces de vigilancia penitenciaria y de los Tribunales sentenciadores, han aplicado las redenciones como tiempo de cumplimiento efectivo, sin que nada justifique en este momento el cambio de criterio. Un criterio mantenido a la hora de determinar el Código más favorable, computando las redenciones como tiempo de cumplimiento y establecido por los Plenos no jurisdiccionales de 18 de julio de 1996 y de 12 de febrero de 1999. Considera que las resoluciones impugnadas, por las que se aprueba su licenciamiento en base a la interpretación de la STS 197/2006, modifican de manera grave, contraria a derecho y al reo, la aplicación de normas de carácter sustantivo, rompiendo con los criterios doctrinales y jurisprudenciales establecidos hasta el momento, y teniendo como consecuencia que no se le conceda un derecho establecido por la ley y que no ha sido modificado, sin que exista motivo alguno para dicho cambio de actitud.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de amparo, se denuncia la vulneración del derecho a la tutela judicial efectiva (art. 24.1 CE), en relación con el derecho a la libertad (art. 17.1 CE). Estima que a raíz de la nueva interpretación de la aplicación de las redenciones sobre la totalidad de las condenas y no sobre la pena resultante de la aplicación de la reducción de condenas (art. 70.2 CP 1973) y teniendo en cuenta lo señalado en el segundo motivo de amparo, ambas resoluciones que se recurren crean una situación de indefensión e inseguridad jurídica, por cuanto a que la aprobación de redenciones por parte de los diferentes Juzgados de vigilancia penitenciaria, firmes e intangibles, suponían con la interpretación hasta la STS 197/2006, reducciones de condena respecto de los treinta años. Y es que así se interpretaba y aplicaba por todos los órganos judiciales y administrativo-penitenciarios, sin excepción. Las redenciones de pena reconocidas por resoluciones judiciales firmes son abono de condena y por tanto, afectan al derecho a la libertad consagrado en el art. 17 de la Constitución, lo cual implica la existencia de un deber reformado de motivación, derivado del art. 24.1 CE, que no se cumple en las resoluciones dictadas por el Tribunal de instancia y contra las que ahora se recurre. Ambas resoluciones deberían explicar las razones por las que limitan la libertad de la demandante y cambian el criterio hasta el momento mantenido, no bastando, en modo alguno, la remisión que realizan a la Sentencia 197/2006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aduce la vulneración del derecho fundamental a la tutela judicial efectiva, establecido en el artículo 24.1 de la Constitución Española, resultante de la vulneración del derecho a la intangibilidad de las resoluciones judiciales firmes, en relación igualmente a los principios de legalidad y seguridad jurídica. Recuerda que en su procedimiento y en la ejecutoria 79-1996 que del mismo se deriva, se acordó acumular las condenas impuestas al penado fijándose en una duración de treinta años de privación de libertad el tiempo total de cumplimiento de la condena. Consecuencia de dicho Auto se dictó resolución por la que se aprobó la liquidación de condena correspondiente, considerando la existencia de una sola condena de treinta años de privación de libertad, susceptible además de reducción por medio del beneficio de la redención de pena por el trabajo, ya que dicha condena se ajusta a las reglas del derogado Código penal, texto refundido de 1973. Posteriormente se dictó Auto por el que se acordaba no haber lugar a la revisión de la condena impuesta toda vez que, según se pone de manifiesto en el propio Auto la pena impuesta con arreglo al Código penal de 1973 es más beneficiosa que la prevista por el texto legal de 1995, lo que ha de deberse al cómputo de las redenciones de pena por el trabajo previstas por el art. 100 de aquel texto refundido de 1973, ya que en ambos casos estaríamos ante una condena refundida en treinta años de prisión. Consecuencia de esta situación, los diversos centros penitenciarios en los que ha estado ingresada la demandante han ido realizando y notificando al penado distintas hojas de cálculo en las que la fecha de liquidación de condena se calculaba siempre aplicando las redenciones obtenidas por Itziar Martínez de la pena única y total de treinta años a la que habían sido refundidas o acumuladas todas las inicialmente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argumenta, no sólo existe una expectativa de reducción de la condena y consecuentemente de libertad, sino que nos encontramos con una resolución firme, nunca cuestionada y nunca modificada, por la que se acumulan todas las condenas impuestas en una única, de donde se deriva la correspondiente liquidación de condena y cuya consecuencia es la aplicación a la misma de la institución de la redención de penas por el trabajo. Las resoluciones judiciales ahora impugnadas atrasan gravemente la fecha de licenciamiento definitivo de la recurrente y modifican el criterio derivado del Auto que fijaba los criterios para la ejecución de la condena. Afirma que la providencia de 23 de marzo de 2009 no es un acto de mero trámite y por ello modificable en cualquier momento sino que se trata de una resolución judicial firme sólo modificable a través del sistema legal de recursos. Dicha resolución judicial aprobó el licenciamiento definitivo, de conformidad con el informe emitido por el Ministerio Fiscal y que devino firme al no haber sido recurrido por ninguna de las partes. La inmodificabilidad de las resoluciones judiciales firmes integra también el contenido de la tutela juridicial efectiva, y en el presente caso el requerimiento que establece el órgano judicial carecería de efectividad ya que impide reabrir un proceso ya resuelto por una resolución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derecho fundamental a la libertad (art. 17.1 CE) se aprobó el licenciamiento definitivo por cumplimiento de la condena para el 4 de junio de 2009, mediante resolución judicial de fecha 23 de marzo de 2009, dictada por la misma Sección, que ha ganado firmeza contra el cual no cabe recurso alguno, y dado que desde el 23 de marzo hasta el 7 de abril las circunstancias son las mismas y no se han conocido datos nuevos, ni han sobrevenido nuevas circunstancias que modifiquen los presupuestos de los que se había partido anteriormente, no cabe su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queja de la lesión del principio de legalidad (art. 25.1 y 9.3 CE), por aplicación retroactiva de ley desfavorable; se denuncia que con esta pretendida nueva interpretación de facto se está aplicando retroactivamente el art. 78 CP 1995 (que establece que los beneficios penitenciarios y la libertad condicional se apliquen a la totalidad de las penas impuestas en las Sentencias), a un penado bajo el Código penal de 1973.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lo que hace evidente que el Código penal de 1973 no contempla la aplicación de las redenciones a la totalidad de las condenas, una previsión que sí realiza el art. 78 CP 1995 y que es desfavorable. También se destaca que las modificaciones legales en esta materia se realizaron, como se pone de relieve en sus exposiciones de motivos,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al derecho a la igualdad en la aplicación de la ley (art. 14 CE). Con cita de la STC 144/1988, de 12 de julio,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y los Plenos no jurisdiccionales de 18 de julio de 1996 y 12 de febrero de 1999); así como todas las liquidaciones de condena y licenciamientos admitidos por todos y cada uno de los Tribunales españoles; posteriormente cita 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libertad (art. 17.1 CE), tras poner de relieve que, conforme a la jurisprudencia de este Tribunal, la redención de penas por el trabajo afecta al derecho a la libertad (SSTC 31/1999, de 8 de marzo, y 76/2004, de 26 de abril), se denuncia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una suerte de tiempo virtual, como señala la STS de 5 de abril de 2001. Esto queda patente en la inicial liquidación de condena y propuesta de licenciamiento definitivo efectuada por el centro penitenciario, por lo que la denegación del licenciamiento definitivo viola el art. 17 CE, el art. 7.1 del Convenio Europeo y el art.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el modo en que los Autos de 27 abril y 23 de junio de 2009 dictados por la Sección Tercera de la Sala de lo Penal de la Audiencia Nacional, que se recurren, al denegar la libertad y admitir un licenciamiento definitivo realizado conforme a la nueva doctrina, entran de pleno en la esfera del derecho fundamental a la libertad. Se produce una afectación de éste, derivada directamente de la afectación de la expectativa de libertad de Itziar Martínez Sustatxa, al suponer un alargamiento del tiempo que deberá permanecer en prisión, obviamente más dilatado del inicialmente previsto, y todo ello por la aplicación de una interpretación totalmente novedosa que es la contenida en la STS 197/2006, contraria a la hasta ahora existente de carácter unánime.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es, precisamente, lo que consideran que hacen las resoluciones de fecha 27 de abril y 23 de junio de 2009, que deniegan el licenciamiento definitivo previsto para el 4 de junio pasado y aprueban dicho licenciamiento para el año 2021 conforme a la interpretación que hace la STS 197/2006 de la forma de aplicación de las redenciones.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recurrente, cumplió el 4 de junio de 2009, treinta años de condena, según se desprende de la liquidación de condena practicada por el centro penitenciario y ratificada posteriormente en la petición de licenciamiento que realiza la prisión de Dueñas en marzo del pasado año. Por tanto, las resoluciones de 8 y 29 de mayo de 2009 dictadas por la Sección Tercera de la Sala de lo Penal de la Audiencia Nacional, violan los arts. 17 CE, 5 y 7.1 CEDH y 9.1 y 5 y 15.1 PIDCP, y que así ha de ser declarado por este Alto Tribunal restableciendo a mi representado en el pleno ejercicio y respeto a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vulnerado el art. 25.2 CE, en relación con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marzo de 2011, la Sala Segunda de este Tribunal acordó la admisión a trámite de la demanda así como, a tenor de lo establecido en el art. 51 de la Ley Orgánica del Tribunal Constitucional (LOTC), requerir atentamente a la Sección Tercera de la Sala de lo Penal de la Audiencia Nacional para que remitiera testimonio de las actuaciones correspondientes a la ejecutoria núm. 79-1996, interesando al tiempo que se emplazara a quienes fueron parte en el procedimiento, a excepción del demandante de amparo, para que pudiesen comparecer en el recurso de amparo. Asimismo, se acordó formar la correspondiente pieza separada de suspensión siendo, tras la oportuna tramitación, denegada mediante Auto de 6 de junio de 2011. Mediante providencia de 16 de febrero de 2012 se reiteró la denegación de la suspensión nuevamente solicitada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9 de enero de 2012, una vez recibido testimonio de las actuaciones judiciales requeridas, se otorgó, conforme al art. 52.1 LOTC, un plazo común de veinte días a las partes para que alegaran lo que estimaran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su entrada en el Registro General de este Tribunal el día 8 de febrero de 2012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31 de enero de 2012 presentó sus alegaciones el Ministerio Fiscal. Explica que, por razones sistemáticas, los motivos de amparo esgrimidos por la representación procesal de la recurrente deben ser abordados por orden distinto del que es propuesto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en primer lugar el último de los motivos que se recogen en la demanda centrado en la eventual vulneración del principio de legalidad penal recogido en el art. 25.2 CE, en relación con las Reglas mínimas para el tratamiento de los reclusos y el Pacto internacional de derechos civiles y políticos, al desconocerse el carácter rehabilitador y de reinserción social al que deben ir orientadas las penas privativas de libertad y la medidas de seguridad. Considera que el motivo debe ser rechazado a limine porque, como reiteradamente ha destacado la doctrina de ese Alto Tribunal (SSTC 28/1988, de 23 de febrero, 88/1998, de 21 de abril, y ATC 219/1998, de 16 de noviembre, por todos), el art. 25.2 CE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y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consistentes ni el motivo segundo ni el quinto que agrupa para su estudio, centrados en la eventual vulneración del principio de legalidad penal conectado al de irretroactividad de las normas penales y restrictivas de derechos, puesto que, como ha señalado también de modo reiterado la doctrina de ese Alto Tribunal (STC 237/1993, de 12 de julio, por todas) no es invocable en amparo, a no ser que a través del mismo haya sido vulnerado alguno de los derechos fundamentales susceptibles de amparo. La afirmación del recurrente acerca de que el Tribunal Supremo haya realizado una interpretación del art. 70.2 CP 1973 acorde con los criterios que han sido recogidos posteriormente en el art. 76 CP 1995, de tal modo que los beneficios penitenciarios hayan de ser aplicados, no a una nueva pena que resulte de la refundición de condenas, sino a cada una de las acumuladas hasta llegar al límite máximo de cumplimiento efectivo de las mismas es una afirmación que no tiene más alcance que el de las propias alegaciones del actor en su demanda. No parece que en el caso de autos, y a los efectos de una posible vulneración del principio de legalidad (art. 25.1 CE) la interpretación que las resoluciones judiciales ahora recurridas en amparo hacen del art. 70.2 CP 1973 en exégesis derivada de la STS 197/2006, de 28 de febrero, se base en una subsunción ajena al significado posible de los términos de la norma aplicada o se base en una argumentación ilógica o indiscutiblemente extravagante o ajena a los criterios que informan nuestro ordenamiento constitucional o conduzcan a soluciones esencialmente contrarias u opuestas a la orientación material de la norma y por ello imprevisible para sus destinatarios (por todas, SSTC 151/2005, de 6 de junio, y 283/2006, de 9 de octubre), sin que corresponda por ende al Tribunal Constitucional dilucidar, como acontece en el caso de autos, cuál de las posibles interpretaciones o criterios jurisprudenciales es el más adecuado a la norma en juego. Añade que como advierte, entre otras, la STS de 11 de mayo de 1994 el principio de legalidad en cuanto a la irretroactividad de la ley penal desfavorable al reo, se establece respecto de las leyes y no de las líneas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todo este conjunto de razones por las que el Fiscal estima que tampoco concurre en estos dos supuestos la vulneración del principio de legalidad (art. 25.1 en relación con el art. 9.3 CE) en su proscripción de la retroactividad de las normas penales perjudiciales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parecer del Ministerio Fiscal, debe ser desestimada la vulneración del principio de igualdad en la aplicación de la ley que sostiene el demandante en su motivo sexto apoyado en el denunciado abandono de una línea jurisprudencial anterior que había interpretado el art. 70.2 y concordantes del Código penal de 1973 de una manera distinta a la que ahora ha establecido, generando a su juicio una situación discriminatoria para el recurrente en el tratamiento de sus condenas refundidas. El motivo no puede prosperar, en primer lugar, porque el órgano judicial que ha dictado las dos resoluciones que son objeto de este recurso, la Sección Tercera de la Sala de lo Penal de la Audiencia Nacional, es distinto de aquel, la Sala Segunda del Tribunal Supremo, que dictó la resolución la STS 197/2006, de 28 de febrero, cuya doctrina recogida en las resoluciones cuestionadas, supuestamente ha generado la situación personal discriminatoria. La demanda no aporta resolución judicial alguna dictada por la Sección Tercera de la Sala de lo Penal de la Audiencia Nacional en la que se decidiera de manera diferente a las recurridas en amparo en supuestos sustancialmente idénticos, tal y como viene exigiendo la jurisprudencia del Tribunal Constitucional, bastando a este efecto la cita de la STC 51/2005, de 14 de marzo. Y, en segundo término porque, aun cuando hubiera existido en la Sala Segunda del Tribunal Supremo el criterio de apartarse de una anterior línea jurisprudencial uniforme, tema este discutible si se atiende a lo que se razona en el fundamento jurídico quinto de la Sentencia, hay que reconocer que ésta ha recogido un conjunto de razonamientos en interpretación de la legalidad aplicable al caso que desde la perspectiva de la racionalidad, justifican dicho eventual cambio de criterio, sin perjuicio lógicamente de que tales argumentos puedan ser analizados e incluso hasta rebatidos, desde la óptica de otros derechos fundamentales pero no desde el que ahora se invoca (SSTC 150/2001, de 2 de julio, y 70/2003,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segundo argumenta la vulneración del derecho a la intangibilidad de las resoluciones judiciales (art. 24.1 CE) en relación con los principios de legalidad y seguridad jurídica. Resalta el Fiscal que en el caso de autos la secuencia de resoluciones judiciales es la siguiente: La Sección Tercera de la Sala de lo Penal de la Audiencia Nacional refundió las condenas que le habían sido impuestas a la demandante de amparo en diversos procesos en virtud de Auto de 28 de septiembre de 1998. En el Auto de refundición se fijó un máximo de cumplimiento de penas privativas de libertad establecido en treinta años, en el que jugarían los beneficios previstos en la legislación de aplicación, como así se especificó en el Auto declarado en la misma ejecutoria de fecha 26 de enero de 1998 y se tuvo en cuenta para no acceder a revisión de la condena de la recurrente por Auto de 24 de febrero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este criterio se aprobó el licenciamiento definitivo de la ahora demandante por providencia de fecha 23 de marzo de 2009 fijándose dicho licenciamiento para el día 4 de junio de 2009, criterio al que se mostró favorable el Ministerio Fiscal que destacó en el informe que era procedente al haberse aprobado las redenciones ordinarias y extraordinarias por los órganos judiciales competentes, según constaba en los testimonios de los Autos unidos a la ejecutoria. A instancias del centro penitenciario en el que la demandante cumplía condena, y al parecer sustentado en noticias periodísticas el criterio fue revisado por la Sección Tercera de la Audiencia Nacional por Auto de fecha 27 de abril de 2009 en la que tras el informe favorable del Ministerio Fiscal, se acordó acoger la liquidación de condena remitida por el centro penitenciario sin beneficios de redención de penas ni ordinarios ni extraordinarios, fijándose el licenciamiento definitivo para el 25 de agosto de 2012 de conformidad con los criterios establecidos en la STS del Pleno de la Sala Segunda 197/2006, de 28 de febrero, lo que provocó que la fecha de licenciamiento definitivo fijado de conformidad con el inicial criterio y que había sido aprobado, fuera dejado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resulta que con el nuevo criterio interpretativo operado por las resoluciones judiciales ahora recurridas en amparo, se ha ocasionado un evidente perjuicio penológico a la demandante de amparo. El derecho a la intangibilidad de las resoluciones judiciales firmes, así como a la ejecución de las mismas se encuentra amparado en el seno más amplio del art. 24.1 CE que comprende el derecho a la tutela judicial efectiva (STC 23/2005, de 14 de febrero). El conflicto, a juicio del Fiscal, se plantea en relación a la prevalencia entre la exigencia de mantenimiento de una resolución judicial de refundición de penas y la consiguiente aprobación del licenciamiento definitivo y la variación de una interpretación jurisprudencial de su núcleo duro normativo que implica consecuencias retroactivamente perjudiciales para la fecha de licenciamiento definitivo del reo, lo que implica inevitablemente la aparición de su derecho a la libertad (art. 17 CE). Se hace evidente que la ejecución de una Sentencia penal debe obedecer siempre a criterios de estricta legalidad, ya que el criterio de legalidad de ejecución penal forma parte del contenido del principio de legalidad (STC 11/1987, de 30 de enero, y 147/1988, de 14 de julio). En dicha ejecución y en el caso de autos lo esencial es la determinación en el tiempo de una resolución judicial que fijara la liquidación de condena y en su seno los criterios (refundición de condenas, arts. 73-76 CP 1995 y 70 CP 1973) empleados para ello, sin olvidar la necesaria fluidez que impone a las fechas de licenciamiento los criterios de la redención de penas que son especialmente significativos en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priori no es aceptable para el Ministerio Fiscal que establecidos unos criterios de interpretación normativa para fijar la refundición de condena (Auto de 28 de septiembre de 1998) y el licenciamiento definitivo por providencia 23 de marzo de 2009, y establecidos ellos en resolución judicial, pudieran variarse en virtud de una posterior resolución, como lo son las resoluciones judiciales ahora recurridas en amparo, por vía de remisión a la STS 197/2006, de 28 de febrero, que interpreta de otra manera las normas atinentes. En el hecho de autos las resoluciones judiciales recurridas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aportando una revisión interpretativa desfavorable, que supone de facto la creación ex novo de un nuevo marco paranormativo que ha causado una extensión de la fecha de licenciamiento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esas dos vulneraciones debe conectarse la consecuencia inexcusable de ellas, la vulneración del derecho a la libertad personal (art. 17.1 CE), por cuanto en vez de obtener en la fecha prevista el licenciamiento definitivo lo será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ello es la estimación del amparo por todas esas vulneraciones constitucionales, derecho a intangibilidad de la resoluciones judiciales (art. 24.1 CE), en relación con el principio de legalidad penal en relación con la irretroactividad de lo desfavorable para el reo (art. 25.1 en relación con el art. 9.3 CE) y el derecho a la libertad personal (art. 17.1 CE). La liquidación de condena y la fecha de licenciamiento definitivo del reo debe quedar fijada de conformidad con el canon interpretativo que en su momento fijara el Auto de 28 de septiembre de 1998, conforme a los criterios del art.70.2 allí expresados, tal como fueron acordados en la providencia de fecha 23 de marzo de 2009, dictada por la Sección Tercera de la Sala de la Audiencia Nacional. Ello implica la anulación de todas las resoluciones judiciales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por último, el primero de los motivos de amparo en el que se alega la vulneración del derecho a la defensa, art. 24.1 CE en un proceso con todas las garantías, art. 24.2 CE, en relación con los arts. 13 del CEDH y 14.5 del PIDCP, derecho al recurso y el motivo séptimo sobre la vulneración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febrero de 2012, el Pleno del Tribunal conforme a lo establecido en el art. 10.1 n) LOTC acordó, previa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Sala de lo Penal de la Audiencia Nacional, de 27 de abril de 2009, desestimatorio del recurso de súplica interpuesto contra la providencia de 7 de abril de 2009, que establece una nueva liquidación de condena de la demandante de amparo, y contra la providencia de 23 de junio de 2009 por la que se acuerda no haber lugar a admitir el recurso extraordinario de nulidad frente al Auto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como ha quedado expuesto en los antecedentes, interesa la estimación del recurso, al considerar vulnerado el derecho a la intangibilidad de la resoluciones judiciales (art. 24.1 CE), en relación con el principio de legalidad penal en relación con la irretroactividad de lo desfavorable para el reo (art. 25.1 en relación con el art. 9.3 CE) y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recordábamos en la reciente STC 89/2011, de 6 de junio,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de la Ley Orgánica del Tribunal Constitucional (LOTC) (por todas, STC 69/2004, de 19 de abril, FJ 3).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recordábamos en la STC 174/2011, de 7 de noviembre,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[SSTC 85/1999, de 10 de mayo, FJ 5; y 71/2000, de 13 de marzo,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demandante de amparo impugna el Auto de 27 de abril de 2009 por el que se aprobó su licenciamiento definitivo para el día 25 de agosto de 2021, y la providencia de 23 de junio de 2009 que inadmitió el incidente de nulidad intentado contra dicho Auto. Ahora bien, acude directamente ante este Tribunal sin hacer uso del recurso de casación ante 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previsión resulta aplicable a los Autos que aprueban el licenciamiento definitivo en cuanto lo en ellos resuelto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al menos un año antes de dictarse las resoluciones impugnadas mediante el Auto del Tribunal Supremo de 7 de abril de 2008, dictado precisamente resolviendo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acumuladas, abona la recurribilidad en casación de los Autos de licenciamiento definitivo en cuanto concretan y fijan definitivamente el máximo de cumplimiento respecto de las penas que se acumulan.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que antecede resulta procedente dictar Sentencia inadmitiendo el recuso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el recurso de amparo formulado por doña Itziar Martínez Sustaxa, contra el Auto de la Sección Tercera de la Sala de lo Penal de la Audiencia Nacional, de 27 de abril de 2009 y contra la providencia de 23 de junio de 2009 por la que se acuerda no haber lugar a admitir el incidente de nulidad frente al Auto citado.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