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7045-2009 planteado por el Consejo de Gobierno de la Comunidad de Madrid contra el Real Decreto 366/2009, de 20 de marzo, por el que se modifica el Real Decreto 1472/2007, de 2 de noviembre, por el que se regula la renta básica de emancipación de los jóvenes. Ha formulado alegaciones el Abogado del Estado.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julio de 2009 el Letrado de la Comunidad de Madrid, en la representación que legalmente ostenta del Consejo de Gobierno de dicha Comunidad Autónoma, promueve conflicto positivo de competencia contra el Real Decreto 366/2009, de 20 de marzo, por el que se modifica el Real Decreto 1472/2007, de 2 de noviembre, en el cual se regula la renta básica de emancipación de los jóvenes. El conflicto se fundamenta en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presente conflicto y al cumplimiento de los requisitos procesales para interponerlo, el Letrado de la Comunidad de Madrid destaca la identidad del presente conflicto con el interpuesto contra el Real Decreto 1472/2007, razón por la cual solicita la acumulación de ambos procesos. Cita como vulneradas las competencias de las Comunidad Autónoma en materia de procedimiento administrativo, vivienda y desarrollo de políticas de promoción integral de la juventud (art. 26.1, 3, 4 y 24 del Estatuto de Autonomía de la Comunidad Autónoma de Madrid). Seguidamente examina la distribución competencial en materia de vivienda, señalando que el carácter exclusivo de la competencia autonómica no quiere decir que el Estado carezca de todo mecanismo de intervención en esta materia. Cita al respecto la STC 152/1988, entendiendo que de ella se deduce que la intervención estatal en este ámbito ha de referirse a la definición de las actuaciones protegibles, la regulación esencial de las fórmulas de financiación adoptadas, el nivel de protección y la aportación de recursos estatales, de manera que las Comunidades Autónomas pueden desarrollar las bases estatales. Conforme a dicha delimitación competencial la representación procesal de la Comunidad de Madrid entiende que el Real Decreto 366/2009 incurre en los mismos vicios de inconstitucionalidad que aquel que modifica. Así indica que el título invocado por el Estado es el derivado del art. 149.1.13 CE, que conforme a la doctrina constitucional, ha de ser objeto de una interpretación restrictiva para no vaciar de contenido las competencias autonómicas con las cuales se relaciona. Dado que se trata del establecimiento de una subvención alega que ha de aplicarse aquí la doctrina constitucional en la materia, doctrina que resultaría desconocida por la regulación que se cuestiona por cuanto, a través, se vulneran las competencias exclusivas de la Comunidad de Madrid, puesto que el Estado pretende atribuirse el ejercicio de las competencias que, en esos ámbitos, corresponderían a la Comunidad Autónoma, pues la intervención habría de ajustarse a los supuestos de delimitación competencial a los que pueden reconducirse los distintos modelos de regulación subvencional que han sido sistematizados por este Tribunal en la STC 13/1992, de 6 de febrero. En coherencia con ello considera que no procede un régimen de gestión y consignación centralizada de las ayudas, reservándose el Estado el pago de las mismas y remitiendo sus gestión a la suscripción de un convenio de colaboración con el Ministerio de Vivienda, pues todo ello hace irrelevante la intervención de la Comunidad Autónoma, sin que se den aquí los supuestos (limitación de los fondos y necesidad de garantizar la igualdad en los destinatarios en que se permitiría la centralización de actuaciones de este tipo en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interposición del conflicto interesa subsidiariamente la declaración de la inconstitucionalidad, por extralimitación competencial, de determinados apartados del artículo único del Real Decreto 366/2009. Respecto del apartado 3 del artículo único se cuestiona la imposición de un determinado modelo para solicitar la renta básica de emancipación así como algunos aspectos del procedimiento de concesión, cuestiones que excederían de la competencia estatal y entrarían dentro de la competencia de la Comunidad de Madrid para establecer las peculiaridades de su procedimiento. En cuanto al apartado 4 el Letrado de la Comunidad Autónoma señala que la determinación de los medios documentales para acreditar la existencia de una fuente regular de ingresos ha de quedar dentro del ámbito competencial autonómico y, finalmente, en relación al apartado 5, considera que la referencia a la “Administración Pública competente” del modificado art. 6 sería contraria al orden competencial si con la misma se estuviera aludiendo a la Administración General del Estado, pues es la Comunidad de Madrid la competente para la gestión procedimental y para la ordenación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 la estimación del conflicto y la consiguiente declaración de que el Real Decreto 366/2009 vulnera las competencias de la Comunidad de Madrid. Subsidiariamente solicita que se declare dicha vulneración por los apartados 3, 4 y 5 del artículo único de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septiembre de 2009 el Pleno del Tribunal Constitucional, a propuesta de la Sección Tercera, acordó admitir a trámite el presente conflicto; atribuir, de conformidad con lo dispuesto en el art. 10.2 de la Ley Orgánica del Tribunal Constitucional, en la redacción dada por la Ley Orgánica 6/2007, de 24 de mayo, su conocimiento a la Sala Segunda, a la que por turno objetivo le ha correspondido; dar traslado de la demanda y documentos presentados al Gobierno de la Nación al objeto de presentar alegaciones en el plazo de veinte días y formular las que estime oportunas sobre la solicitud de acumulación de este conflicto al registrado con el núm. 1501-2008; comunicar la incoación del conflicto a la Sala de lo Contencioso-Administrativo del Tribunal Supremo por si ante la misma estuviera impugnado o se impugnare el Real Decreto 366/2009, en cuyo caso se suspenderá el curso del proceso hasta la decisión del conflicto, según dispone el art. 61.2 LOTC, y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6 de octubre de 2009 el Abogado del Estado se personó en el proceso solicitando una prórroga del plazo concedido para formular alegaciones, prórroga que le fue concedida por diez días más mediante providencia de la Sala Segunda de 7 de octubre de 2009. El escrito de alegaciones del Abogado del Estado se registró el día 17 de noviembre de 2009.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la identidad de objeto, de partes y de argumentación jurídica entre el presente conflicto y el planteado por la Comunidad de Madrid contra el Real Decreto 1472/2007, pues el Real Decreto 366/2009, objeto del presente procedimiento, es una modificación del anterior que no ofrecería un relieve propio a los efectos de la reivindicación competencial de la Comunidad Autónoma. Constata a este respecto que el escrito del planteamiento del conflicto reproduce las alegaciones vertidas contra el texto anterior, denunciando, subsidiariamente, que determinados preceptos del nuevo incidirían en vicio de incompetencia específica independientemente del juicio de adecuación del texto en su conjunto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 continuación que la demanda reconoce la posibilidad de que el Estado pueda intervenir en esta materia persiguiendo el objetivo de dinamizar el mercado de arrendamiento de viviendas en tanto que medida de ordenación económica incardinable en la competencia estatal del art. 149.1.13 CE. Recalca al respecto que la norma ahora impugnada se sitúa en la misma línea que su antecedente, con ligeras modificaciones derivadas de la experiencia de su aplicación, muchas de ellas sugeridas por las propias Comunidades Autónomas, y atendiendo las indicaciones formuladas por el Defensor del Pueblo para evitar los retrasos en los abonos de estas ayudas. En cuanto a la reclamación de la competencia respecto al modelo de solicitud y el pago señala, respecto a este último, que la reserva al Estado del acto del pago se ampara en la doctrina de la STC 152/1998 y se justifica por la necesidad de imprimir celeridad en los pagos de estas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preceptos impugnados de manera subsidiaria indica, respecto del artículo único apartado 3, que el mismo ha flexibilizado la regulación del modelo de solicitud, en el sentido de no exigir la utilización del impreso que apruebe el Ministerio de Vivienda, sino admitir su presentación conforme a un modelo que contenga los datos del que se adjunta como anexo, de forma que resulta lógico que las solicitudes se centralicen para garantizar las mismas posibilidades de obtención y disfrute por parte de todos sus potenciales destinatarios, evitando que se sobrepase la cuantía global de los fondos estatales destinados al sector. Asimismo destaca que la modificación de este apartado se refiere a las indicaciones mínimas que la solicitud debe contener, sin excluir otras de posible regulación por las Comunidades Autónomas. En lo que respecta al artículo único apartado 4 el Abogado del Estado niega que se trate de un precepto de carácter procedimental, por cuanto contiene una norma material definitoria del ámbito de la actuación protegida. Finalmente, en cuanto al apartado 5, señala que el precepto es irreprochable desde el punto de vista competencial, puesto que no define competencia alguna sino que se remite a la Administración que sea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abril de 2012 se acordó señalar para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de Madrid contra el Real Decreto 366/2009, de 20 de marzo, por el que se modifica el Real Decreto 1472/2007, de 2 de noviembre, por el que se regula la renta básica de emancipación de los jóvenes.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la Comunidad de Madrid estima que la disposición impugnada no respeta el orden constitucional de competencias y lesiona las competencias autonómicas exclusivas en materia de vivienda así como la autonomía financiera de la Comunidad Autónoma. Junto a ello se interesa, de forma subsidiaria, la declaración de que los apartados 3, 4 y 5 del artículo único del Real Decreto 366/2009 vulneran el acervo competencial de la Comunidad de Madrid. El Abogado del Estado se ha opuesto al anterior planteamiento señalando que, como acontecía con el Real Decreto 1472/2007, las modificaciones introducidas encontrarían amparo en la competencia estatal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expuestos los términos de la controversia planteada entre las partes hemos de referirnos ahora a la incidencia que sobre el presente conflicto pueda tener la derogación, en virtud del Real Decreto-Ley 20/2011, de 30 de diciembre, del Real Decreto 1472/2007, de 2 de noviembre, en su momento modificado por el Real Decreto 366/2009, de 20 de marzo, objeto del presente conflicto. A este respecto, tal y como dijimos en la STC 36/2012, de 15 de marzo, FJ 2, resolutoria de un conflicto planteado frente al Real Decreto 1472/2007, la derogación de éste no incide “sobre la cuestión debatida en el presente proceso, de carácter netamente competencial y centrada en la extralimitación de las competencias estatales en la regulación de la renta básica de emancipación y la consiguiente vulneración de las competencias autonómicas, sin que resulten alterados en virtud de esas modificaciones y, finalmente por la derogación de la disposición impugnada los términos en los que se trabó la controversia competencial sobre la que se requiere el pronunciamiento de este Tribunal.” De ahí que la derogación del Real Decreto 1472/2007, modificado en su momento por el impugnado Real Decreto 366/2009, no haya originado, conforme a reiterada doctrina de este Tribunal (por todas, STC 158/2011, de 19 de octubre, FJ 5), la desaparición del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y a pesar de que el Consejo de Gobierno de la Comunidad de Madrid y el Abogado del Estado coinciden en el encuadre competencial del conflicto planteado, que se situaría, a su juicio, en la materia de vivienda, lo cierto es que en la ya citada STC 36/2012 nos hemos apartado del encuadramiento competencial que se realizó en la previa STC 129/2010, de 29 de noviembre (FFJJ 3 y 5), en la cual afirmamos que la materia competencial afectada por la regulación del Real Decreto 1427/2007 era la relativa a vivienda, y que las competencias reconocidas al Estado en el art. 149.1.13 CE darían cobertura a la adopción de medidas como las establecidas en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atenernos ahora a la doctrina sentada en la STC 36/2012, FJ 5 en la cual hemos establecido, una vez sentado que el objeto principal de la ayuda es facilitar la emancipación de los jóvenes, que la renta básica de emancipación no se ubica de modo principal en la materia vivienda, “ya que ésta presenta tan sólo una relación mediata o instrumental con la misma, en la medida en que el fin primordial de facilitar el acceso a una vivienda en alquiler es el de fomentar la emancipación de un segmento determinado de la población. No se trata, por tanto, de desarrollar propia y fundamentalmente una política en materia de vivienda, fomentando de forma más intensa el alquiler”. En ese mismo fundamento jurídico también se afirma que “el Real Decreto cuestionado no puede tener encaje en la competencia que invoca el Estado sobre las bases y coordinación de la planificación general de la actividad económica ex art. 149.1.13 CE, en tanto que, por su escasa relevancia económica, el establecimiento de una renta básica de emancipación no supone, en sí misma considerada, una medida que incida directa y significativamente sobre la actividad económica general, según ha exigido nuestra jurisprudencia … para que pueda entrar en juego dicho título competencial del Estado”. Por tanto, la renta básica de emancipación ha quedado encuadrada competencialmente en la materia asistencia social en cuanto que “ponderando los distintos objetivos de la norma, podemos concluir para este caso concreto que las ayudas objeto de la controversia se conectan con mayor intensidad con la materia asistencia social, en cuanto tratan de resolver una problemática social facilitando a determinados grupos de personas con rentas reducidas la efectiva emancipación respecto de sus familias, llevando a cabo, de esta forma, una política de protección social que reduzca una tendencia negativa manifestada en el conjunto de la sociedad española” (STC 36/2012,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como se señala en la demanda, la Comunidad Autónoma de Madrid tiene competencias en cuanto a la promoción integral de la juventud (art. 26.1.24 del Estatuto de Autonomía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esa delimitación competencial, la STC 36/2012 descartó que el Real Decreto 1472/2007 hubiera invadido en bloque las competencias autonómicas en materia de asistencia social. Así, remitiéndose a la STC 178/2011, de 8 de noviembre, FJ 7, que resolvía un conflicto referido a subvenciones relativas al área de la asistencia social, señala que, es preciso considerar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(STC 36/2012, FJ 8, con cita de la STC 178/2011,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principio de autonomía financiera de la Comunidad Autónoma debido a la asunción por el Estado, en virtud de su potestad de gasto, de actuaciones en una materia en la que carece de competencias, y cuyo desarrollo debe corresponder a las Comunidades Autónomas, dijimos en la STC 36/2012, FJ 7, que no se podía realizar, prima facie, un pronunciamiento genérico, sino que había de estarse al concreto contenido de la norma, “al objeto de determinar si se ha producido algún exceso competencial en dicha regulación, con desconocimiento de la autonomía política y financiera de la citada Comunidad”. Sobre este particular, recordó el Tribunal su reiterada doctrina respecto de que la “facultad de gasto público, consecuencia lógica de la autonomía financiera, no es un título legitimador de la atribución de competencias (por todas, STC 95/1986, de 10 de julio, FJ 3), habiéndose precisado, con referencia a una frecuente manifestación de esta facultad de gasto, como son las subvenciones, pero con una doctrina que puede generalizarse,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(entre otras, STC 179/1985, de 19 de diciembre, FJ 1)” . Por tanto, la actuación estatal subvencional sólo se justifica en los casos en que por razón de la materia sobre la que la subvención opera “la Constitución o los Estatutos de Autonomía hayan reservado al Estado competencias sobre la materia subvencionada o que aquella actuación se enmarque en las facultades estatales de dirección y coordinación de la política económica en cuanto tales subvenciones puedan constituir elemento esencial de la misma. De lo que deriva que el Estado no puede condicionar las subvenciones o determinar su finalidad más allá del alcance de los títulos competenciales que amparen su intervención (STC 201/1988)”. En definitiva, concluíamos, con cita de la STC 96/1990, de 24 de mayo, FJ 15, habrá que estar a la normativa que dicte el Estado para cada tipo de subvención,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Comunidades Autónomas reconoce el art. 156.1 CE.” (STC 36/2012,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tal como establecimos en la STC 36/2012, FJ 2, procede realizar ahora “un examen individualizado de los preceptos controvertidos para determinar si la regulación contenida en cada uno de ellos resulta constitucionalmente lícita, por recaer sobre una materia en la que el Estado tenga atribuidas competencias, o, por el contrario, pertenece a alguna materia que resulte de la exclusiva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ha de procederse al examen de los distintos apartados del artículo único del Real Decreto 366/2009 así como de su disposición final primera, relativa al título competencial estatal en cuya virtud se dicta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modifica el art. 2 del Real Decreto 1472/2007, referido a los requisitos que ha de reunir los beneficiarios de la ayuda sin que sea contrario al orden constitucional de distribución de competencias, pues ya dijimos en la STC 36/2012, FJ 9, que “no se aprecia causa de inconstitucionalidad en cuanto al art. 2, relativo a los requisitos que han de cumplir los beneficiarios de las ayudas, que son condiciones de otorgamiento de las ayudas que el Estado puede fijar”. Lo mismo cabe decir del apartado 2, que modifica el art. 3 en aspectos que ya hemos considerado conformes con el orden competencial en la STC 36/2012,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presenta un doble contenido, relativo, el primero, a la modificación del art. 4.3 del Real Decreto 1472/2007 dedicado a las solicitudes para la percepción de la renta básica de emancipación, y el segundo, que modifica el art. 4.4, al procedimiento de concesión de dicha renta básica. Por lo que respecta al primero es de apreciar que, en su nueva redacción, el art. 4.3 no impone el uso de un modelo de solicitud sino que literalmente señala: “Los interesados presentarán la solicitud de la renta básica de emancipación conforme a un modelo que contenga, al menos, los datos del que se adjunta como anexo”. Así, aunque, se limita a indicar, por referencia a un modelo cuya utilización no se impone, los datos que necesariamente han de constar en las solicitudes, el grado de detalle con que se fijan hacen incurrir a la norma en un exceso competencial como apreciamos en la STC 36/2012 en relación con el mismo precepto antes de su modificación (FJ 10). Del mismo modo, procede estimar la demanda en lo relativo a la nueva redacción dada al art. 4.4 del Real Decreto 1472/2007, pues, en relación a este precepto, ya concluimos en la STC 36/2012, FJ 10 que “también vulnera la competencia autonómica el apartado 4, en la medida en que establece una detallada regla procedimental sobre el reconocimiento provisional del derecho a la renta básica de emancipación, que entra de lleno dentro de la competencia autonómica para la regulación del procedimiento de gestión, control y resolución de las solicitudes de ayudas” sin que las modificaciones ahora introducidas alteren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4, que modifica el art. 5 del Real Decreto 1472/2007, procede también remitirse a lo decidido respecto a éste último en la ya citada STC 36/2012, FJ 10, en la que consideramos que “el art. 5 se refiere a la acreditación del cumplimiento de los requisitos del art. 2, con una regulación muy detallada en una materia en la que el Estado no tiene competencia, ni siquiera para el establecimiento de las bases. Por tanto, sus previsiones vulneran la competencia autonómica en la materia, dado que ésta incluye la de regular el procedimiento correspondiente, como ya se ha señalado, así como la gestión de las solicitudes, incluyendo la recepción y tramitación de las solicitudes y las verificaciones o comprobaciones que se consideren necesarias”. Por remisión a la STC 36/2012, FJ 10, y por las mismas razones que acabamos de recoger, procede estimar también la impugnación del apartado 5, que modifica el art. 6 del Real Decreto 1472/2007.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6, modificativo del art. 9.2 del Real Decreto 1472/2007, es conforme con el orden constitucional de distribución de competencias, tal como ya declaramos en la STC 36/2012, FJ 11, pues “ninguna vulneración se aprecia, tampoco, con respecto a los apartados 2 y 3, en los que se fijan las incompatibilidades con otras ayudas estatales y las consecuencias del incumplimiento de las condiciones y requisitos para disfrutar de las ayudas, ya que se trata de cuestiones estrechamente ligadas a la fijación de los requisitos para poder ser beneficiarios de la renta básica de emancipación, establecidos en el art. 2 del Real Decreto 1472/2007”. Igualmente conforme con la distribución de competencias entre Estado y Comunidades Autónomas es el apartado 7, modificativo de la disposición adicional tercera del Real Decreto 1472/2007, en cuanto que, como ya señaló la STC 36/2012, FJ 11, trata de un aspecto relacionado directamente con los requisitos para ser beneficiario de las ayudas. Finalmente, la disposición final primera incurre en infracción del orden competencial pues, como ya señalo la STC 36/2012, FJ 11, dicho título no respalda la intervención estatal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solamente nos resta pronunciarnos sobre el alcance de las consecuencias de la vulneración de competencias que hemos apreciado. A este respecto, por las razones que ya señalamos en la STC 36/2012, FJ 12, nuestro pronunciamiento, que debe incluir no sólo la estimación parcial del conflicto con declaración de la titularidad de la competencia controvertida a favor de la Comunidad Autónoma de Madrid, sino también la anulación de los preceptos correspondientes, ha de realizarse con respeto, en todo caso, de las ayudas que ya hayan sido concedidas.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interpuesto por el Consejo de Gobierno de la Comunidad Autónoma de Madrid y, en consecuencia, declarar que los apartados 3, 4 y 5 del artículo único y la disposición final primera del Real Decreto 366/2009, de 20 de marzo, por el que se modifica el Real Decreto 1472/2007, de 2 de noviembre, por el que se regula la renta básica de emancipación de los jóvenes, vulneran las competencias de la Comunidad Autónoma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citados preceptos, con el alcance que se determina en el fundamento jurídico 6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