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1246-2011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solicitada por don Moisés Posada Sarmiento en el recurso de amparo núm. 1246-2011.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2 de marzo de 2011, la Procuradora de los Tribunales doña María Dolores Girón Arjonilla, en nombre de don Moisés Posada Sarmiento, interpuso recurso de amparo contra la Sentencia de 2 de diciembre de 2010 de la Sala de lo Penal del Tribunal Supremo, que desestima íntegramente el recurso de casación interpuesto contra la Sentencia de 3 de febrero de 2010 dictada por la Sección Tercera de la Audiencia Provincial de Cádiz.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suspensión formulada por el demandante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amparo fue condenado por la Audiencia Provincial de Cádiz, mediante Sentencia de 3 de febrero de 2009, como autor responsable de un delito contra la salud pública, en la modalidad de extrema gravedad, sin circunstancias modificativas de la responsabilidad criminal, a la pena de cinco años y seis meses de prisión, con inhabilitación especial para el ejercicio del derecho de sufragio pasivo durante el tiempo de la condena, y multa de 7.000.000 €, así como al pago de un quinto de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recurso de casación, es desestimado íntegramente por Sentencia de 2 de diciembre de 2010 de la Sala de lo Penal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demandante de amparo alega que las resoluciones judiciales recurridas han vulnerado su derecho a la intimidad (ex art. 18.1 CE), así como su derecho al secreto de la comunicaciones (ex art. 18.3 CE), al entender que era necesaria autorización judicial para proceder al examen de la agenda de un teléfono móvil de su propiedad, que la Policía Nacional encontró en un invernadero donde se localizaron un total de 2.488.280 gramos de hachís.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y de acuerdo con lo dispuesto en el art. 56 de la Ley Orgánica del Tribunal Constitucional (LOTC), el recurrente solicita en la demanda de amparo que se deje en suspenso la ejecución de la Sentencia condenatoria, alegando que dicha ejecución podría ocasionarle un perjuicio de imposible reparación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abril de 2012, la Sección Primera del Tribunal Constitucional acordó la admisión a trámite de la demanda de amparo, así como, a tenor de lo establecido en el art. 51 LOTC, requerir atentamente a la Sala de lo Penal del Tribunal Supremo y a la Sección Tercera de la Audiencia Provincial de Cádiz para que remitieran testimonio de las respectivas actuaciones, interesándose al tiempo que se emplazase a quienes fueron parte en el procedimiento penal, a excepción del demandante de amparo, para que pudieran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otra providencia de la misma fecha se acordó formar la correspondiente pieza separada de medidas cautelares y, de conformidad con lo previsto en el art.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el 3 de mayo de 2012, oponiéndose a la suspensión solicitada. Tras recordar la doctrina constitucional en materia de suspensión de Sentencias penales condenatorias, el Ministerio Fiscal apoya su solicitud denegatoria señalando que la pena de prisión impuesta es superior a cinco años y que los hechos delictivos por los que ha sido condenado el recurrente revisten especial gravedad, no solo por la naturaleza del hecho delictivo y del bien jurídico protegido (salud pública), sino porque se ha apreciado la concurrencia del subtipo agravado de extrema gravedad, en relación con la notoria cantidad de sustancia estupefaciente aprehendida. Todo ello sin perjuicio de advertir sobre la oportunidad de otorgar al recurso una tramitación preferente, a fin de reducir en lo posible los eventuales efectos negativos derivados de la ejecución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amparo, mediante escrito registrado con fecha 24 de abril de 2011, reitera su petición de suspensión de la condena, argumentando que la ejecución de la misma le causaría daños irreparables en su esfera familiar y laboral, y que frustraría la finalidad del amparo.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2/2001, de 15 de enero, FJ 1; y 4/2006, de 16 de enero, FJ 1).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ATC 212/2009, de 9 de julio, FJ 1).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(AATC 273/1998, de 14 de diciembre, FJ 2; y 201/2007,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en las condenas a penas privativas de libertad de corta duración la regla general ha sido la suspensión conforme al criterio genérico de la posible pérdida de eficacia del amparo (ATC 80/2006, de 13 de marzo, FJ 1 in fine) y a la entidad de la pena en cuanto expresiva del grado de reprobación del hecho por el ordenamiento (AATC 277/1985, de 24 de abril; 264/1998, de 26 de noviembre; 265/1998, de 26 de noviembre; 22/2002, de 25 de febrero; y 39/2004, de 9 de febrero); criterios a los que se ha añadido el relativo al tiempo de cumplimiento efectivo de la pena, ya sea por haber estado en prisión preventiva o por haberse ejecutado tras ser firme la condena (ATC 221/2000, de 2 de octubre), así como el de la trayectoria, acreditada documentalmente por el recurrente, posterior a su condena (ATC 270/2002,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denegar la suspensión interesada, en atención a la duración de la condena de privación de libertad recaída —cinco años y seis meses de prisión—, a lo que habría que añadir, en la línea apuntada por el Ministerio Fiscal, que los hechos delictivos por los que ha sido condenado el recurrente revisten especial gravedad, no solo por la naturaleza del hecho delictivo y del bien jurídico protegido, sino también porque se ha apreciado la concurrencia del subtipo agravado, sin que resulte acreditada la concurrencia de otras circunstancias que pudieran tener incidencia en la decisión que corresponde adoptar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aun cuando en el escrito de 24 de abril de 2012 viene a contraerse la petición suspensiva a la ejecución de las penas de prisión impuestas al demandante de amparo, es notorio que tampoco cabría la suspensión del resto de los pronunciamientos de la Sentencia impugnada, en atención a su carácter accesorio en lo que atañe a la privación del ejercicio del derecho de sufragio pasivo (AATC 131/2001, de 22 de mayo, FJ 2; y 408/2005, de 21 de noviembre, FJ 2), y meramente patrimonial y, por tanto, susceptible de reparación, en lo que se refiere al abono de las multas y costas procesales (ATC 59/2008, de 20 de febrero, FJ 2, entre otros muchos).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solicitada por don Moisés Posada Sarmiento en el recurso de amparo núm. 1246-2011.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