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6996-2011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6996-2011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Ordenar la anotación preventiva de la demanda de amparo en el Registro de la Propiedad, a cuyo efecto el Juzgado de Primera Instancia núm. 2 de Avilés expedirá el mandamiento oportuno dirigido al Registro de la Propiedad núm. 1 de Avilés, para que pueda practicarse la correspondiente anotación en relación con el inmueble a que se refieren las presentes en las actuaciones dimanantes del procedimiento de ejecución hipotecaria 777-2009.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22 de diciembre de 2011, I.G. Llanerastur, S.L., representada por la Procuradora de los Tribunales doña Patricia Bosch Iglesias y asistida por el Letrado don Constantino Vaquero Pastor, interpuso recurso de amparo contra el Auto dictado el 28 de octubre de 2011 por el Juzgado de Primera Instancia núm. 2 de Avilés, que desestimó la petición de nulidad de actuaciones promovida en el proceso de ejecución hipotecaria núm. 777-2009. La demanda de amparo solicita se dicte Sentencia declarando que se ha vulnerado el derecho de la recurrente a la tutela judicial efectiva y, a tal fin, anulando el Auto de 28 de octubre de 2011 recurrido y todos los actos procesales posteriores al Auto de fecha 4 de noviembre de 2009 o, con carácter subsidiario, a la providencia de fecha 26 de marzo de 2010, con retroacción de actuaciones. La vulneración invocada se hubiera producido al subastarse un bien que ya no estaba en el patrimonio del deudor ejecutado, sino que pertenecía a un tercero que desconocía la existencia del procedimiento y no era parte en el mismo, privándole de su derecho a ser oído e impidiéndole con ello ejercer la defensa de sus legítimos derechos e intereses sobre el citado inmueble.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otrosí se solicita, al amparo de lo dispuesto en el art. 56.3 de la Ley Orgánica del Tribunal Constitucional (LOTC), la anotación preventiva de la demanda de amparo constitucional en el Registro de la Propiedad y sucintamente expuestos, los hechos relevantes para resolver la pretensión de que se adopte la medida cautelar solicitada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 instancias de la entidad Banco Sabadell, el Juzgado de Primera Instancia núm. 2 de Avilés inició procedimiento de ejecución hipotecaria número 777-2009, en fecha 3 de septiembre de 2009, contra doña María del Carmen García González y don Ubaldo López Flores y contra la finca registral hipotecada núm. 4.240, inscrita en el Registro la Propiedad núm. 1 de Avilés.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Tras diferentes gestiones conducentes a la averiguación del domicilio de los ejecutados, y habiéndolo finalmente hecho en el nuevo domicilio obtenido a doña María del Carmen García y por comunicación edictal al otro ejecutado, se siguieron todos los pasos legalmente previstos del procedimiento, que finalizó con el Auto que aprobó el remate firme sin que frente a él hubiera lugar a recurso alguno y la vivienda objeto de la ejecución fue inscrita a favor de los adjudicatarios en subasta.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consta en las actuaciones dimanantes del procedimiento de ejecución hipotecaria 777-2009 seguido en el Juzgado de Primera instancia núm. 2 de Avilés que dio lugar a la inscripción de dominio y cancelación de cargas, tras adjudicación en subasta, en la finca núm. 4.240, tomo 2.311, libro 418, identificador único 330200000 12719.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IG Llanestur, S.L., —demandante en amparo— que a la sazón era titular del dominio en virtud de subasta llevada a cabo por la Agencia Estatal de la Administración Tributaria (AEAT), inscrito en el Registro de la Propiedad el 11 de marzo de 2008, alega no haber sido notificada en ningún momento durante el proceso de ejecución hipotecaria de la venta forzosa de la finca y, según afirma, tomó conocimiento de su existencia cuando “en los primeros días del mes de junio de 2011 y con motivo de una gestión en la oficina de la seguridad social ... se le informa de que la vivienda ha sido objeto de ejecución hipotecaria, ha sido subastada y aparece inscrita a nombre de otra persona diferente, facilitándole los datos del procedimiento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Primera de este Tribunal acordó la admisión a trámite de la demanda de amparo, acordándose formar la correspondiente pieza separada de suspensión y, de conformidad con lo previsto en el art. 56 de la Ley Orgánica del Tribunal Constitucional, conceder un plazo común de tres días al Ministerio Fiscal y al recurrente en amparo para que alegaran lo que estimaran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recurrente presentó un escrito el 7 de noviembre de 2012, en el que afirma que se ratifica en la petición de suspensión solicitada en su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12 de noviembre de 2012, el Ministerio Fiscal interesa que se dicte auto ordenando la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facultad de este Tribunal Constitucional de adoptar medidas cautelares en los procesos de amparo, reconocida en el art. 56 de la Ley Orgánica del Tribunal Constitucional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clase de medidas cautelares susceptibles de adoptarse en tales supuestos, junto a la suspensión del acto o resolución impugnados (art. 56.2 LOTC), se dispone en el art. 56.3 LOTC que “la Sala o la Sección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Cuando como en el presente caso se solicita como medida cautelar la anotación preventiva de la demanda de amparo en el Registro de la Propiedad, hemos señalado en ocasiones precedentes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limitándose nuestra decisión en esta materia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consecuencia, este Tribunal está facultado para acordar tal medida a fin de garantizar los derechos del demandante de amparo frente a eventuales actos de disposición, mediante el anuncio registral frente a terceros de la pendencia del proceso constitucional con sus eventuales consecuencias sobre los derechos inscritos. De este modo, a través de la publicidad registral que garantiza la anotación preventiva, se consigue cautelarmente, frente a los actos posteriores que puedan perjudicarlos, preservar los derechos del demandante de amparo afectados por la vulneración del derecho fundamental objeto del proceso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Ordenar la anotación preventiva de la demanda de amparo en el Registro de la Propiedad, a cuyo efecto el Juzgado de Primera Instancia núm. 2 de Avilés expedirá el mandamiento oportuno dirigido al Registro de la Propiedad núm. 1 de Avilés, para que pueda practicarse la correspondiente anotación en relación con el inmueble a que se refieren las presentes en las actuaciones dimanantes del procedimiento de ejecución hipotecaria 777-2009.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