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29 de abril de 2013, ha sido notificada a las partes la STC 103/2013, de 25 del mismo mes y año, recaída en el recurso de inconstitucionalidad núm. 1523-2004, promovido por el Parlamento de Cataluña contra determinados preceptos de la Ley 57/2003, de 16 de diciembre, de medidas para la modernización del gobierno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3 de mayo de 2013, ha tenido entrada en este Tribunal un escrito del Abogado del Estado solicitando aclaración de Sentencia, que versa sobre el alcance del Fallo que declara inconstitucional y nulo, en los términos establecidos en el fundamento jurídico sexto de la Sentencia, el inciso “[e]l Alcalde podrá nombrar como miembros de la Junta de Gobierno Local a personas que no ostenten la condición de concejales, siempre que su número no supere un tercio de sus miembros, excluido el Alcalde”.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necesidad de aclaración, según alega el Abogado del Estado, se refiere a la afirmación contenida en el citado fundamento jurídico, conforme a la cual, “la declaración de nulidad no afecta a las situaciones consolidas no susceptibles de ser revisadas con fundamento en esta sentencia”, esto es, a las situaciones nacidas con anterioridad a la fecha de su publicación. No suscita dudas al Abogado del Estado que los nombramientos de miembros no electos para las Juntas de Gobierno local de los municipios de gran población, así como los acuerdos adoptados por las Juntas de Gobierno compuestas por concejales y miembros no electos no se ven afectados por la declaración de inconstitucionalidad del fallo. Le plantea dudas, sin embargo “si la declaración de inconstitucionalidad incide en los efectos jurídicos de los nombramientos que se produzcan con posterioridad a la publicación de la sentencia”. Esto es, si quienes fueron nombrados miembros no electos de la Junta de Gobierno local antes de la publicación de la Sentencia, pueden seguir ejerciendo sus cargos una vez la Sentencia sea publicada, en cuyo caso la nulidad no se extendería a los actos dictados, tras la publicación de la Sentencia, por una Junta de Gobierno local no constituida íntegramente por concejales.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además, que parece lógico entender que si el nombramiento realizado con anterioridad a la publicación de la sentencia se ha mantenido por el fundamento jurídico 6 de la misma, también quedaría amparado el derecho del cargo público a ejercerlo, una vez publicada la Sentencia, hasta que sea removido del mismo. Por ello suplica que la aclaración de Sentencia se realice, no a partir de las interpretaciones por él alegadas como posibles, sino, precisamente, en el sentido que éste postula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de este Tribunal la aclaración de sus Sentencias. La solicitud de aclaración ha sido presentada en el plazo legalmente establecido y por una de las partes procesales. Ahora bien, como hemos expresado en reiteradas ocasiones, la solicitud de aclaración no constituye un medio de impugnación encaminado a la sustitución o revisión de la decisión adoptada, pues contra las Sentencias del Tribunal Constitucional no cabe recurso alguno. Su objeto ha de limitarse, en consecuencia,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(Por todos, ATC 108/2012, de 22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aclaración solicitada excede claramente del objeto de este trámite procesal, pues con ella se pretende la modificación del alcance del fallo en el sentido que el Abogado del Estado considera más “lógico”, esto es, suspendiendo los efectos pro futuro de la declaración de inconstitucionalidad y nulidad hasta que se produzca la revocación del nombramiento o cese de los miembros de la Junta de Gobierno local que no son concejales.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inconstitucionalidad y nulidad diferida en el tiempo no tiene cabida en el fundamento jurídico sexto de la Sentencia que declara la inconstitucionalidad y nulidad de la norma impugnada. Ahora bien, en aplicación del principio de seguridad jurídica, la Sentencia salva las situaciones nacidas con anterioridad a su publicación y por ello, mantiene la composición y también la validez de los acuerdos adoptados por la Junta de Gobierno local formada por miembros no electos, así como los actos dictados por dichos miembros por delegación de la Junta (art. 127.2 de la Ley reguladora de las bases de régimen local) y de su nombramiento pero sólo hasta la publicación de la Sentencia. Los actos que adopte la Junta de Gobierno local a partir de la publicación de la Sentencia y los que se dicten a partir de entonces por delegación en sus miembros, no son, como pretende el Abogado del Estado, situaciones jurídicas preexistentes sino nuevas situaciones jurídicas sobre las que la declaración de inconstitucionalidad y nulidad despliega todos sus efectos tanto en lo relativo a la composición de las juntas de gobiernos locales que han de estar formadas, únicamente, por concejales electos, como en lo relativo a la validez de sus acuerdos, conforme a lo establecido en el fallo y en el fundamento jurídico sexto de la Sentencia.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