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enero de 2013 tuvo entrada en el Registro General de este Tribunal escrito del Secretario Judicial del Juzgado de lo Social núm. 34 de Madrid al que se acompaña, junto con el testimonio del procedimiento de despido núm. 618-2012, que se tramita en dicho Juzgado, el Auto de16 de enero de 2013, por el que el citado Juzgado acuerda plantear cuestión de inconstitucionalidad en relación con el Real Decreto-Ley 3/2012, de 10 de febrero, de medidas urgentes para la reforma del mercado laboral, globalmente considerado y, en particular, por lo que se refiere a su capítulo IV y a la disposición transitoria quinta, por posible lesión del art. 86.1 CE en relación con el art. 1.3 CE; de otro, la disposición transitoria quinta del citado Real Decreto-Ley 3/2102,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lo Social núm. 34 de Madrid se sigue el procedimiento por despido núm. 618-2012, a instancias de demanda presentada por don Roberto González Piñeiro contra “Imtech Spain, Sociedad Limitada”; se impugna la extinción unilateral del vínculo por el empresario, practicada por éste de manera informal con expedición de comunicación escrita de fecha 21 de marzo de 2012, en que participa al trabajador la expiración de un contrato de relevo temporal que, a juicio del demandante, tiene carácter de contrato indefinido.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 juicio con fecha 24 de octubre de 2012, en fecha 26 de octubre se dicta providencia por el Juzgado de lo Social núm. 34 de Madrid dando trámite de audiencia de diez días a las partes y al Ministerio Fiscal (art. 35.2 de la Ley Orgánica del Tribunal Constitucional: LOTC) para formular alegaciones sobre la pertinencia de plantear cuestión de inconstitucionalidad respecto del Real Decreto-Ley 3/2012, globalmente considerado por vulneración de los arts. 1.3 y. 86.1 CE; de otro, la disposición transitoria quinta del citado Real Decreto-Ley 3/2102 por la supuesta vulneración de los arts. 9.3 y 24.1 CE; y el art. 18.8 por posible vulneración de los arts. 9.3, 24.1 CE, en relación con el art. 35.1 CE. En la mencionada providencia el Magistrado Juez razona que en el caso enjuiciado el despido ha de ser calificado como improcedente, aduciendo las razones que a su juicio conducen a dicha calificación, y señalando que las consecuencias de dicha calificación de improcedencia deberían ser, conforme a la fecha de efectos de la extinción, 5 de abril de 2012, las previstas en el texto refundido de la Ley del Estatuto de los Trabajadores, en la redacción dada por el Real Decreto-Ley 3/2012, de 11 de febrero, que entró en vigor el 12 de febrero y permaneció vigente hasta el día 7 de julio, en que fue sustituido por la Ley 3/2012, de 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empresa demandada no estimó procedente el planteamiento de la cuestión de inconstitucionalidad. El Ministerio Fiscal consideró que concurrían los requisitos procesales para plantear una cuestión de inconstitucionalidad. La representación procesal del demandante no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Social núm. 34 de Madrid dictó Auto de 16 de enero de 2013, por el que se acuerda elevar cuestión de inconstitucionalidad ante el Tribunal Constitucional, respecto a las siguientes disposiciones: el Real Decreto-Ley 3/2012, de 11 de febrero, globalmente considerado y en especial por lo que se refiere a su capítulo IV y la disposición transitoria quinta por posible lesión del art. 86.1 CE en relación con el art. 1.3 CE; por otro lado, la disposición transitoria quinta del citado Real Decreto-Ley 3/2012, por posible lesión de los arts. 9.3 y 24.1 CE; y finalmente, el art. 18.8 de dicho Real Decreto-Ley 3/2012, por posible contradicción con los arts. 9.3 y 24.1 CE, en relación con el art. 35.1 CE. En dicho Auto se ordenaba la citación a las partes a comparecencia a fin de adoptar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9 de julio de 2013, la Sección Tercera de este Tribunal acuerda dirigir comunicación al Juzgado de lo Social núm. 34, a fin de que se indique si en el citado procedimiento, con posterioridad al Auto de 16 de enero de 2013, se ha dictado alguna otra resolución, remitiendo, en su caso, copia de lo actuado.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oficio de 9 de septiembre de 2013, y en contestación al anterior requerimiento, se remite por el órgano juzgador copia del acta de comparecencia, celebrada el 8 de febrero de 2013 y Auto de “medidas provisionales no nucleares”, dictado por el Juzgado de lo Social núm. 34 de Madrid, en fecha 25 de febrero de 2013, en el que, tras fijar los hechos probados del litigio y razonar que la extinción debe ser calificada judicialmente como despido improcedente,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se estime la cuestión de inconstitucionalidad planteada. Al respecto aduce que aun cuando no existe norma legal que permita tal pronunciamiento parcial, la doctrina constitucional parece autorizarlo con fundamento en el principio de tutela judicial y efectividad de los derecho, subrayando las graves consecuencias que, en el presente caso, derivarían para el trabajador y para la empresa en el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IMTECH SPAIN SOCIEDAD LIMITADA a que opte entre readmitir con mantenimiento de la relación laboral y abono de los salarios dejados de percibir desde el día siguiente al despido y hasta la fecha en que la reincorporación tenga lugar efectivamente o resolver el contrato indemnizando al trabajador despedido DON ROBERTO GONZÁLEZ PIÑEIRO en la suma de QUINCE MIL DOSCIENTOS TREINTA Y SEIS EUROS CON QUINCE CÉNTIMOS DE EURO.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 por readmitir al trabajador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las actuaciones remitidas, consta asimismo, documentación acreditativa de la opción efectuada por la empresa en favor de la indemnización del trabajador, en fecha 25 de abril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Auto de 16 de enero de 2013, del Juzgado de los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expone en el Auto, en primer término, el juicio de aplicabilidad y relevancia sobre las normas cuestionadas, indicando que se enjuicia en el proceso a quo la extinción unilateral del vínculo por el empresario, practicada por éste de manera informal con expedición de comunicación escrita, que participa al trabajador demandante la expiración del contrato de relevo suscrito con la empresa. Considera el órgano juzgador que la citada extinción ha de calificarse judicialmente como despido improcedente a resultas de que la constancia de una serie contractual obliga a examinar la concurrencia de la causa de la temporalidad en todos y cada uno de los contratos que integran la serie, de manera que, el defecto causal en uno solo de dichos contratos determina la adquisición por el trabajador de la condición de fijo e indefinido, con nulidad de las cláusulas temporales introducidas en los supuestos contratos temporales pactados con posterioridad, siendo esto precisamente lo acontecido en el presente supuesto. Indica que las consecuencias de dicha calificación de improcedencia deberían ser, de acuerdo con la fecha de efectos de la extinción, 5 de abril de 2012, las previstas en el texto refundido de la Ley del Estatuto de los Trabajadores en la redacción vigente en dicha fecha, esto es, la que le dio el Real Decreto 3/2012, de 11 de febrero, que entró en vigor el 12 de febrero y permaneció vigente hasta el día 7 de julio, en que fue sustituido por la Ley 3/2012, de 6 de julio. A resultas de lo anterior, el marco de consecuencias legales viene determinado por la norma cuestionada y la Sentencia que eventualmente debería dictarse debería conceder al empleador la posibilidad de optar por la readmisión con abono de los salarios de tramitación o la rescisión contractual con abono de la indemnización legalmente establecida y sin abono de salarios de tramitación, no apreciando el juzgador posibilidad de acomodación de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el Magistrado-Juez afirma que la norma de aplicación es arbitraria pues determina que la indemnización por despido improcedente que correspondería al trabajador sea de inferior importe a la que reconocía la normativa precedente, siendo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vinculante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 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le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18 de septiembre de 2013,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Auto de 25 de febrero de 2013, dictado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evacuó el trámite conferido mediante escrito registrado el 22 de octubre de 2013, en el que interesa la inadmisión a trámite de la cuestión de inconstitucionalidad planteada, por manifiesta carencia de objeto, al haberse resuelto el fondo de la acción ejercitada.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resuelve en el Auto de planteamiento convocar a las partes a una comparecencia y tras celebrarse dicta un Auto denominado de medidas provisionales no nucleares, en el que resuelve calificar el despido como improcedente y condenar al abono de la indemnización correspondiente. Es decir, según el Fiscal General del Estado, se pronuncia exactamente sobre la acción ejercitada en la demanda, resolviendo sobre el objeto del pleito, aun cuando quiera afirmar el Juzgado que tal decisión no es más que una resolución provisional que podrá hipotéticamente confirmarse o bien complementarse en lo que se refiere al abono de los salarios de tramitación, si es que la presente cuestión de inconstitucionalidad prosperara. Señala el Fiscal General del Estado que, al margen de que no existan en nuestro ordenamiento procesal resoluciones sobre el fondo del asunto que pretendan un pronunciamiento provisional o “ad cautelam” sobre la pretensión deducida, lo que evidencian los Autos de fechas 16 de enero de 2013 y 25 de febrero de 2013, no es más que una voluntad renuente a la adopción de la medida que contempla el art. 35.3 LOTC, consistente en la suspensión del procedimiento hasta la definitiva resolución de la cuestión por el Tribunal Constitucional. A su juicio, afirmar que lo resuelto por el Auto de 25 de febrero son meras cuestiones “no nucleares” no puede sino calificarse como un ejercicio de voluntarismo estéril que no logra ocultar la realidad de la continuación del procedimiento y la resolución sobre el fondo de la pretensión deducida por el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tal razón, expone que la cuestión presenta una manifiesta carencia de objeto, que debe llevar a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por apreciar que carece de objeto al haberse resuelto el fondo de la acción ejercitada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guarda claras similitudes con la núm. 438-2013 planteada por el mismo órgano judicial. La mencionada cuestión ha sido inadmitida a trámite por el ATC 277/2013, de 3 de diciembre, al que hemos de remitirnos.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Debemos recordar, en primer lugar que el hecho de que la redacción dada por el Real Decreto-ley 3/2012 a los preceptos objeto del presente procedimiento haya sido sustituida por la establecida en la Ley 3/2012, de 6 de julio, sobre medidas urgentes para la reforma del mercado laboral no conlleva, por sí sola, la pérdida del objeto de la cuestión planteada pues, atendidas las fechas de entrada en vigor de ambas normas,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así como a los amplios términos empleados respecto a dos de las normas cuestionadas, pues “la cuestión de inconstitucionalidad no es un instrumento procesal para buscar una depuración abstracta del Ordenamiento” (STC 235/2007, de 7 de noviembre, FJ 2; o SSTC 55/2010, de 4 de octubre, FJ 2;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SSTC 179/2009, de 21 de julio, FJ 2; o 121/2011, de 7 de julio, FJ 2). El resultado de dicho examen es que, por las mismas razones que en el caso examinado en el ATC 277/2013, de 3 de diciembre, FJ 2, la duda de constitucionalidad, tanto en relación con la utilización del instrumento normativo del Real Decreto-ley (art. 86.1 CE) como respecto a las específicas dudas de contenido elevadas (arts. 9.3, 24.1 CE, y en su caso, art. 35.1 CE), ha de quedar limitada al apartado 2 de la disposición transitoria quinta del Real Decreto-ley 3/2012, por el que se fija el criterio de cálculo de la indemnización por despido improcedente de los contratos formalizados antes de la entrada en vigor de este Real Decreto-ley; y el art. 18.8 de dicho Real Decreto-ley 3/2012, por el que se da nueva redacción al art. 56.2 del texto refundido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objeto de la cuestión, cumple poner ahora de manifiesto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del trabajador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examen de dicho óbice atenderemos al ATC 277/2013, FJ 3, cuyas apreciaciones y conclusiones resumimos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este Tribunal ha admitido que el órgano judicial a quo pueda adoptar las medidas cautelares precisas para asegurar las resultas del juicio o incluso los efectos de la futura sentencia de este Tribunal resolviendo la cuestión, sin que tampoco exista obstáculo para que lleve a cabo otros actos de instrucción y de ordenación del proceso, ha exigido que “no guarden relación con la validez de la ley cuestionada, pues el proceso de fondo sigue pendiente ante él en situación procesal de detención” (ATC 313/1996, 29 octubre, FJ 2; ATC 186/2009, 16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tras el Auto de planteamiento de la cuestión, el órgano judicial ha dictado un nuevo Auto en que declara la improcedencia del despido y condena a la empresa demandada a que, en el plazo de cinco días, opte entre readmitir al trabajador con abono de los salarios dejados de percibir o resolver el contrato con el pago de la indemnización indicada. Con esa decisión el Magistrado-Juez está haciendo directa aplicación de las normas del Real Decreto-ley 3/2012 que son objeto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